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50C27">
      <w:pPr>
        <w:adjustRightInd w:val="0"/>
        <w:snapToGrid w:val="0"/>
        <w:spacing w:line="300" w:lineRule="auto"/>
        <w:jc w:val="left"/>
        <w:rPr>
          <w:rFonts w:cs="仿宋" w:asciiTheme="minorEastAsia" w:hAnsiTheme="minorEastAsia" w:eastAsiaTheme="minorEastAsia"/>
          <w:b/>
          <w:bCs/>
          <w:snapToGrid w:val="0"/>
          <w:kern w:val="0"/>
          <w:sz w:val="28"/>
          <w:szCs w:val="28"/>
        </w:rPr>
      </w:pPr>
      <w:r>
        <w:rPr>
          <w:rFonts w:cs="仿宋" w:asciiTheme="minorEastAsia" w:hAnsiTheme="minorEastAsia" w:eastAsiaTheme="minorEastAsia"/>
          <w:b/>
          <w:bCs/>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B8429E">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54FD0757">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60288;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AB8429E">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54FD0757">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F52034C">
      <w:pPr>
        <w:rPr>
          <w:rFonts w:cs="仿宋" w:asciiTheme="minorEastAsia" w:hAnsiTheme="minorEastAsia" w:eastAsiaTheme="minorEastAsia"/>
        </w:rPr>
      </w:pPr>
    </w:p>
    <w:p w14:paraId="2613AA8E">
      <w:pPr>
        <w:rPr>
          <w:rFonts w:cs="仿宋" w:asciiTheme="minorEastAsia" w:hAnsiTheme="minorEastAsia" w:eastAsiaTheme="minorEastAsia"/>
        </w:rPr>
      </w:pPr>
    </w:p>
    <w:p w14:paraId="1498A69F">
      <w:pPr>
        <w:rPr>
          <w:rFonts w:cs="仿宋" w:asciiTheme="minorEastAsia" w:hAnsiTheme="minorEastAsia" w:eastAsiaTheme="minorEastAsia"/>
        </w:rPr>
      </w:pPr>
    </w:p>
    <w:p w14:paraId="04369C1A">
      <w:pPr>
        <w:rPr>
          <w:rFonts w:cs="仿宋" w:asciiTheme="minorEastAsia" w:hAnsiTheme="minorEastAsia" w:eastAsiaTheme="minorEastAsia"/>
        </w:rPr>
      </w:pPr>
    </w:p>
    <w:p w14:paraId="153A2A9C">
      <w:pPr>
        <w:rPr>
          <w:rFonts w:cs="仿宋" w:asciiTheme="minorEastAsia" w:hAnsiTheme="minorEastAsia" w:eastAsiaTheme="minorEastAsia"/>
        </w:rPr>
      </w:pPr>
    </w:p>
    <w:p w14:paraId="1E167C7A">
      <w:pPr>
        <w:rPr>
          <w:rFonts w:cs="仿宋" w:asciiTheme="minorEastAsia" w:hAnsiTheme="minorEastAsia" w:eastAsiaTheme="minorEastAsia"/>
        </w:rPr>
      </w:pPr>
    </w:p>
    <w:p w14:paraId="6263BEFF">
      <w:pPr>
        <w:rPr>
          <w:rFonts w:cs="仿宋" w:asciiTheme="minorEastAsia" w:hAnsiTheme="minorEastAsia" w:eastAsiaTheme="minorEastAsia"/>
        </w:rPr>
      </w:pPr>
    </w:p>
    <w:p w14:paraId="2BF80862">
      <w:pPr>
        <w:jc w:val="center"/>
        <w:rPr>
          <w:rFonts w:cs="仿宋" w:asciiTheme="minorEastAsia" w:hAnsiTheme="minorEastAsia" w:eastAsiaTheme="minorEastAsia"/>
        </w:rPr>
      </w:pPr>
    </w:p>
    <w:p w14:paraId="4B80523F">
      <w:pPr>
        <w:jc w:val="center"/>
        <w:rPr>
          <w:rFonts w:hint="eastAsia" w:cs="仿宋" w:asciiTheme="minorEastAsia" w:hAnsiTheme="minorEastAsia" w:eastAsiaTheme="minorEastAsia"/>
          <w:lang w:eastAsia="zh-CN"/>
        </w:rPr>
      </w:pPr>
      <w:r>
        <w:rPr>
          <w:rFonts w:hint="eastAsia" w:cs="仿宋" w:asciiTheme="minorEastAsia" w:hAnsiTheme="minorEastAsia" w:eastAsiaTheme="minorEastAsia"/>
          <w:b/>
          <w:bCs/>
          <w:snapToGrid w:val="0"/>
          <w:kern w:val="0"/>
          <w:sz w:val="72"/>
          <w:szCs w:val="70"/>
          <w:lang w:eastAsia="zh-CN"/>
        </w:rPr>
        <w:t>治安支队综合食材配送服务项目（追加）</w:t>
      </w:r>
    </w:p>
    <w:p w14:paraId="0A343F91">
      <w:pPr>
        <w:rPr>
          <w:rFonts w:cs="仿宋" w:asciiTheme="minorEastAsia" w:hAnsiTheme="minorEastAsia" w:eastAsiaTheme="minorEastAsia"/>
        </w:rPr>
      </w:pPr>
    </w:p>
    <w:p w14:paraId="50D906F9">
      <w:pPr>
        <w:rPr>
          <w:rFonts w:cs="仿宋" w:asciiTheme="minorEastAsia" w:hAnsiTheme="minorEastAsia" w:eastAsiaTheme="minorEastAsia"/>
        </w:rPr>
      </w:pPr>
    </w:p>
    <w:p w14:paraId="4B1C9A27">
      <w:pPr>
        <w:rPr>
          <w:rFonts w:cs="仿宋" w:asciiTheme="minorEastAsia" w:hAnsiTheme="minorEastAsia" w:eastAsiaTheme="minorEastAsia"/>
        </w:rPr>
      </w:pPr>
    </w:p>
    <w:p w14:paraId="6685E390">
      <w:pPr>
        <w:rPr>
          <w:rFonts w:cs="仿宋" w:asciiTheme="minorEastAsia" w:hAnsiTheme="minorEastAsia" w:eastAsiaTheme="minorEastAsia"/>
        </w:rPr>
      </w:pPr>
    </w:p>
    <w:p w14:paraId="3610AE49">
      <w:pPr>
        <w:rPr>
          <w:rFonts w:cs="仿宋" w:asciiTheme="minorEastAsia" w:hAnsiTheme="minorEastAsia" w:eastAsiaTheme="minorEastAsia"/>
        </w:rPr>
      </w:pPr>
    </w:p>
    <w:p w14:paraId="667CCC09">
      <w:pPr>
        <w:rPr>
          <w:rFonts w:cs="仿宋" w:asciiTheme="minorEastAsia" w:hAnsiTheme="minorEastAsia" w:eastAsiaTheme="minorEastAsia"/>
        </w:rPr>
      </w:pPr>
    </w:p>
    <w:p w14:paraId="7F06E602">
      <w:pPr>
        <w:adjustRightInd w:val="0"/>
        <w:snapToGrid w:val="0"/>
        <w:spacing w:line="300" w:lineRule="auto"/>
        <w:jc w:val="center"/>
        <w:rPr>
          <w:rFonts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14:paraId="52AA9579">
      <w:pPr>
        <w:adjustRightInd w:val="0"/>
        <w:snapToGrid w:val="0"/>
        <w:spacing w:line="300" w:lineRule="auto"/>
        <w:jc w:val="center"/>
        <w:rPr>
          <w:rFonts w:cs="仿宋" w:asciiTheme="minorEastAsia" w:hAnsiTheme="minorEastAsia" w:eastAsiaTheme="minorEastAsia"/>
          <w:b/>
          <w:snapToGrid w:val="0"/>
          <w:kern w:val="0"/>
          <w:sz w:val="32"/>
        </w:rPr>
      </w:pPr>
    </w:p>
    <w:p w14:paraId="381CEC1C">
      <w:pPr>
        <w:adjustRightInd w:val="0"/>
        <w:snapToGrid w:val="0"/>
        <w:spacing w:line="300" w:lineRule="auto"/>
        <w:jc w:val="center"/>
        <w:rPr>
          <w:rFonts w:hint="eastAsia" w:cs="仿宋" w:asciiTheme="minorEastAsia" w:hAnsiTheme="minorEastAsia" w:eastAsiaTheme="minorEastAsia"/>
          <w:b/>
          <w:snapToGrid w:val="0"/>
          <w:kern w:val="0"/>
          <w:sz w:val="44"/>
          <w:lang w:eastAsia="zh-CN"/>
        </w:rPr>
      </w:pPr>
      <w:r>
        <w:rPr>
          <w:rFonts w:hint="eastAsia" w:cs="仿宋" w:asciiTheme="minorEastAsia" w:hAnsiTheme="minorEastAsia" w:eastAsiaTheme="minorEastAsia"/>
          <w:b/>
          <w:snapToGrid w:val="0"/>
          <w:kern w:val="0"/>
          <w:sz w:val="32"/>
        </w:rPr>
        <w:t>项目编号：</w:t>
      </w:r>
      <w:r>
        <w:rPr>
          <w:rFonts w:hint="eastAsia" w:cs="仿宋" w:asciiTheme="minorEastAsia" w:hAnsiTheme="minorEastAsia" w:eastAsiaTheme="minorEastAsia"/>
          <w:b/>
          <w:snapToGrid w:val="0"/>
          <w:kern w:val="0"/>
          <w:sz w:val="32"/>
          <w:lang w:eastAsia="zh-CN"/>
        </w:rPr>
        <w:t>FTZXDL-2024-00083</w:t>
      </w:r>
    </w:p>
    <w:p w14:paraId="205E44D0">
      <w:pPr>
        <w:rPr>
          <w:rFonts w:cs="仿宋" w:asciiTheme="minorEastAsia" w:hAnsiTheme="minorEastAsia" w:eastAsiaTheme="minorEastAsia"/>
        </w:rPr>
      </w:pPr>
    </w:p>
    <w:p w14:paraId="0F17CA5C">
      <w:pPr>
        <w:rPr>
          <w:rFonts w:cs="仿宋" w:asciiTheme="minorEastAsia" w:hAnsiTheme="minorEastAsia" w:eastAsiaTheme="minorEastAsia"/>
        </w:rPr>
      </w:pPr>
    </w:p>
    <w:p w14:paraId="48569AFC">
      <w:pPr>
        <w:rPr>
          <w:rFonts w:cs="仿宋" w:asciiTheme="minorEastAsia" w:hAnsiTheme="minorEastAsia" w:eastAsiaTheme="minorEastAsia"/>
        </w:rPr>
      </w:pPr>
    </w:p>
    <w:p w14:paraId="0703C885">
      <w:pPr>
        <w:rPr>
          <w:rFonts w:cs="仿宋" w:asciiTheme="minorEastAsia" w:hAnsiTheme="minorEastAsia" w:eastAsiaTheme="minorEastAsia"/>
        </w:rPr>
      </w:pPr>
    </w:p>
    <w:p w14:paraId="4A11DD09">
      <w:pPr>
        <w:rPr>
          <w:rFonts w:cs="仿宋" w:asciiTheme="minorEastAsia" w:hAnsiTheme="minorEastAsia" w:eastAsiaTheme="minorEastAsia"/>
        </w:rPr>
      </w:pPr>
    </w:p>
    <w:p w14:paraId="02A90368">
      <w:pPr>
        <w:pStyle w:val="20"/>
        <w:ind w:firstLine="210"/>
      </w:pPr>
    </w:p>
    <w:p w14:paraId="7D4EBAED">
      <w:pPr>
        <w:pStyle w:val="20"/>
        <w:ind w:firstLine="210"/>
      </w:pPr>
    </w:p>
    <w:p w14:paraId="3FC49B7D">
      <w:pPr>
        <w:rPr>
          <w:rFonts w:cs="仿宋" w:asciiTheme="minorEastAsia" w:hAnsiTheme="minorEastAsia" w:eastAsiaTheme="minorEastAsia"/>
        </w:rPr>
      </w:pPr>
    </w:p>
    <w:p w14:paraId="4446CBC2">
      <w:pPr>
        <w:rPr>
          <w:rFonts w:cs="仿宋" w:asciiTheme="minorEastAsia" w:hAnsiTheme="minorEastAsia" w:eastAsiaTheme="minorEastAsia"/>
        </w:rPr>
      </w:pPr>
    </w:p>
    <w:p w14:paraId="4C0E7D30">
      <w:pPr>
        <w:pStyle w:val="14"/>
        <w:adjustRightInd w:val="0"/>
        <w:snapToGrid w:val="0"/>
        <w:spacing w:line="300" w:lineRule="auto"/>
        <w:jc w:val="center"/>
        <w:rPr>
          <w:rFonts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w:t>
      </w:r>
      <w:r>
        <w:rPr>
          <w:rFonts w:hint="eastAsia"/>
          <w:b/>
          <w:snapToGrid w:val="0"/>
          <w:sz w:val="30"/>
        </w:rPr>
        <w:t>四</w:t>
      </w:r>
      <w:r>
        <w:rPr>
          <w:rFonts w:hint="eastAsia" w:cs="仿宋" w:asciiTheme="minorEastAsia" w:hAnsiTheme="minorEastAsia" w:eastAsiaTheme="minorEastAsia"/>
          <w:b/>
          <w:snapToGrid w:val="0"/>
          <w:sz w:val="30"/>
        </w:rPr>
        <w:t>年</w:t>
      </w:r>
      <w:r>
        <w:rPr>
          <w:rFonts w:hint="eastAsia" w:cs="仿宋" w:asciiTheme="minorEastAsia" w:hAnsiTheme="minorEastAsia" w:eastAsiaTheme="minorEastAsia"/>
          <w:b/>
          <w:snapToGrid w:val="0"/>
          <w:sz w:val="30"/>
          <w:lang w:val="en-US" w:eastAsia="zh-CN"/>
        </w:rPr>
        <w:t>十</w:t>
      </w:r>
      <w:r>
        <w:rPr>
          <w:rFonts w:hint="eastAsia" w:cs="仿宋" w:asciiTheme="minorEastAsia" w:hAnsiTheme="minorEastAsia" w:eastAsiaTheme="minorEastAsia"/>
          <w:b/>
          <w:snapToGrid w:val="0"/>
          <w:sz w:val="30"/>
        </w:rPr>
        <w:t>月</w:t>
      </w:r>
    </w:p>
    <w:p w14:paraId="4F2167CA">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14:paraId="3F6950B7">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FC08A1E">
      <w:pPr>
        <w:spacing w:line="360" w:lineRule="auto"/>
        <w:ind w:firstLine="480" w:firstLineChars="200"/>
        <w:rPr>
          <w:rFonts w:ascii="宋体" w:hAnsi="宋体"/>
          <w:sz w:val="24"/>
          <w:szCs w:val="24"/>
        </w:rPr>
      </w:pPr>
    </w:p>
    <w:p w14:paraId="70FD3020">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w:t>
      </w:r>
    </w:p>
    <w:p w14:paraId="06C33A9F">
      <w:pPr>
        <w:spacing w:line="440" w:lineRule="exact"/>
        <w:ind w:firstLine="480" w:firstLineChars="200"/>
        <w:rPr>
          <w:rFonts w:ascii="仿宋" w:hAnsi="仿宋" w:eastAsia="仿宋"/>
          <w:sz w:val="24"/>
          <w:szCs w:val="24"/>
        </w:rPr>
      </w:pPr>
      <w:r>
        <w:rPr>
          <w:rFonts w:hint="eastAsia" w:ascii="仿宋" w:hAnsi="仿宋" w:eastAsia="仿宋"/>
          <w:sz w:val="24"/>
          <w:szCs w:val="24"/>
        </w:rPr>
        <w:t>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3E281">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14:paraId="1F653587">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14:paraId="2C835625">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14:paraId="24D1D56C">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14:paraId="2F2312C0">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14:paraId="6CF5B9BC">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14:paraId="03F2E187">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14:paraId="24D09C12">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14:paraId="44CFE7E8">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14:paraId="36E69CF0">
      <w:pPr>
        <w:spacing w:line="440" w:lineRule="exact"/>
        <w:ind w:firstLine="480" w:firstLineChars="200"/>
        <w:rPr>
          <w:rFonts w:ascii="仿宋" w:hAnsi="仿宋" w:eastAsia="仿宋"/>
          <w:sz w:val="24"/>
          <w:szCs w:val="24"/>
        </w:rPr>
      </w:pPr>
    </w:p>
    <w:p w14:paraId="03158014">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w:t>
      </w:r>
    </w:p>
    <w:p w14:paraId="412E6846">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第七十五条 供应商有下列情形的，属于采购条例所称的串通投标行为，按照采购条例第五十七条有关规定处理：</w:t>
      </w:r>
    </w:p>
    <w:p w14:paraId="0950A382">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14:paraId="04F03825">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14:paraId="103EF63D">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14:paraId="6C84A7AF">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14:paraId="05F8FA77">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14:paraId="155C14D2">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14:paraId="73C88446">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14:paraId="2AC01583">
      <w:pPr>
        <w:spacing w:line="440" w:lineRule="exact"/>
        <w:ind w:firstLine="480" w:firstLineChars="200"/>
        <w:rPr>
          <w:rFonts w:ascii="仿宋" w:hAnsi="仿宋" w:eastAsia="仿宋"/>
          <w:sz w:val="24"/>
          <w:szCs w:val="24"/>
        </w:rPr>
      </w:pPr>
      <w:r>
        <w:rPr>
          <w:rFonts w:hint="eastAsia" w:ascii="仿宋" w:hAnsi="仿宋" w:eastAsia="仿宋"/>
          <w:sz w:val="24"/>
          <w:szCs w:val="24"/>
        </w:rPr>
        <w:t>第七十七条 供应商有下列情形之一的，属于隐瞒真实情况，提供虚假资料，按照采购条例第五十七的有关规定处理：</w:t>
      </w:r>
    </w:p>
    <w:p w14:paraId="65573088">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14:paraId="07FF5655">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14:paraId="37CE747E">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14:paraId="3D436D7E">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14:paraId="39A907AC">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14:paraId="77E1FDF8">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14:paraId="79678ADF">
      <w:pPr>
        <w:spacing w:line="440" w:lineRule="exact"/>
        <w:ind w:firstLine="480" w:firstLineChars="200"/>
        <w:rPr>
          <w:rFonts w:ascii="仿宋" w:hAnsi="仿宋" w:eastAsia="仿宋"/>
          <w:sz w:val="24"/>
          <w:szCs w:val="24"/>
        </w:rPr>
      </w:pPr>
    </w:p>
    <w:p w14:paraId="75065A2A">
      <w:pPr>
        <w:spacing w:line="440" w:lineRule="exact"/>
        <w:ind w:firstLine="480" w:firstLineChars="200"/>
        <w:rPr>
          <w:rFonts w:ascii="仿宋" w:hAnsi="仿宋" w:eastAsia="仿宋"/>
          <w:sz w:val="24"/>
          <w:szCs w:val="24"/>
        </w:rPr>
      </w:pPr>
      <w:r>
        <w:rPr>
          <w:rFonts w:hint="eastAsia" w:ascii="仿宋" w:hAnsi="仿宋" w:eastAsia="仿宋"/>
          <w:sz w:val="24"/>
          <w:szCs w:val="24"/>
        </w:rPr>
        <w:t>三、《中华人民共和国政府采购法实施条例》</w:t>
      </w:r>
    </w:p>
    <w:p w14:paraId="5B38F0AD">
      <w:pPr>
        <w:spacing w:line="440" w:lineRule="exact"/>
        <w:ind w:firstLine="424" w:firstLineChars="177"/>
        <w:rPr>
          <w:rFonts w:ascii="仿宋" w:hAnsi="仿宋" w:eastAsia="仿宋"/>
          <w:sz w:val="24"/>
          <w:szCs w:val="24"/>
        </w:rPr>
      </w:pPr>
      <w:r>
        <w:rPr>
          <w:rFonts w:hint="eastAsia" w:ascii="仿宋" w:hAnsi="仿宋" w:eastAsia="仿宋"/>
          <w:sz w:val="24"/>
          <w:szCs w:val="24"/>
        </w:rPr>
        <w:t>第十八条 单位负责人为同一人或者存在直接控股、管理关系的不同供应商，不得参加同一合同项下的政府采购活动。</w:t>
      </w:r>
    </w:p>
    <w:p w14:paraId="14B985E6">
      <w:pPr>
        <w:spacing w:line="440" w:lineRule="exact"/>
        <w:ind w:firstLine="424" w:firstLineChars="177"/>
        <w:rPr>
          <w:rFonts w:ascii="仿宋" w:hAnsi="仿宋" w:eastAsia="仿宋"/>
          <w:sz w:val="24"/>
          <w:szCs w:val="24"/>
        </w:rPr>
      </w:pPr>
      <w:r>
        <w:rPr>
          <w:rFonts w:hint="eastAsia" w:ascii="仿宋" w:hAnsi="仿宋" w:eastAsia="仿宋"/>
          <w:sz w:val="24"/>
          <w:szCs w:val="24"/>
        </w:rPr>
        <w:t>除单一来源采购项目外，为采购项目提供整体设计、规范编制或者项目管理、监理、检测等服务的供应商，不得再参加该采购项目的其他采购活动。</w:t>
      </w:r>
    </w:p>
    <w:p w14:paraId="592B6069">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本项目设计供应商：无</w:t>
      </w:r>
    </w:p>
    <w:p w14:paraId="7E829579">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本项目造价咨询供应商：无</w:t>
      </w:r>
    </w:p>
    <w:p w14:paraId="7EAD6E30">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本项目监理供应商：无</w:t>
      </w:r>
    </w:p>
    <w:p w14:paraId="6839647B">
      <w:pPr>
        <w:spacing w:line="440" w:lineRule="exact"/>
        <w:ind w:firstLine="424" w:firstLineChars="177"/>
        <w:rPr>
          <w:rFonts w:ascii="仿宋_GB2312" w:eastAsia="仿宋_GB2312" w:hAnsiTheme="minorEastAsia"/>
          <w:b/>
          <w:color w:val="FF0000"/>
          <w:sz w:val="24"/>
          <w:szCs w:val="24"/>
          <w:vertAlign w:val="baseline"/>
        </w:rPr>
      </w:pPr>
      <w:r>
        <w:rPr>
          <w:rFonts w:hint="eastAsia" w:ascii="仿宋" w:hAnsi="仿宋" w:eastAsia="仿宋"/>
          <w:sz w:val="24"/>
          <w:szCs w:val="24"/>
        </w:rPr>
        <w:t>本项目检测供应商：无</w:t>
      </w:r>
    </w:p>
    <w:p w14:paraId="5275586A">
      <w:pPr>
        <w:spacing w:line="440" w:lineRule="exact"/>
        <w:ind w:firstLine="426" w:firstLineChars="177"/>
        <w:rPr>
          <w:rFonts w:hint="eastAsia" w:ascii="仿宋_GB2312" w:eastAsia="仿宋_GB2312" w:hAnsiTheme="minorEastAsia"/>
          <w:b/>
          <w:color w:val="FF0000"/>
          <w:sz w:val="24"/>
          <w:szCs w:val="24"/>
        </w:rPr>
      </w:pPr>
    </w:p>
    <w:p w14:paraId="71DFE6A3">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14:paraId="445F28B0">
      <w:pPr>
        <w:widowControl/>
        <w:jc w:val="center"/>
        <w:rPr>
          <w:rFonts w:cs="仿宋" w:asciiTheme="minorEastAsia" w:hAnsiTheme="minorEastAsia" w:eastAsiaTheme="minorEastAsia"/>
          <w:snapToGrid w:val="0"/>
        </w:rPr>
      </w:pPr>
    </w:p>
    <w:p w14:paraId="64A1B9E9">
      <w:pPr>
        <w:widowControl/>
        <w:jc w:val="center"/>
        <w:rPr>
          <w:rFonts w:cs="仿宋" w:asciiTheme="minorEastAsia" w:hAnsiTheme="minorEastAsia" w:eastAsiaTheme="minorEastAsia"/>
          <w:snapToGrid w:val="0"/>
        </w:rPr>
      </w:pPr>
    </w:p>
    <w:p w14:paraId="2E93C91A">
      <w:pPr>
        <w:widowControl/>
        <w:jc w:val="left"/>
        <w:rPr>
          <w:rFonts w:cs="仿宋" w:asciiTheme="minorEastAsia" w:hAnsiTheme="minorEastAsia" w:eastAsiaTheme="minorEastAsia"/>
          <w:snapToGrid w:val="0"/>
        </w:rPr>
      </w:pPr>
      <w:r>
        <w:rPr>
          <w:rFonts w:cs="仿宋" w:asciiTheme="minorEastAsia" w:hAnsiTheme="minorEastAsia" w:eastAsiaTheme="minorEastAsia"/>
          <w:snapToGrid w:val="0"/>
        </w:rPr>
        <w:br w:type="page"/>
      </w:r>
    </w:p>
    <w:p w14:paraId="1445AC3F">
      <w:pPr>
        <w:widowControl/>
        <w:jc w:val="center"/>
        <w:rPr>
          <w:rFonts w:cs="仿宋" w:asciiTheme="minorEastAsia" w:hAnsiTheme="minorEastAsia" w:eastAsiaTheme="minorEastAsia"/>
          <w:snapToGrid w:val="0"/>
        </w:rPr>
      </w:pPr>
    </w:p>
    <w:p w14:paraId="0437D449">
      <w:pPr>
        <w:widowControl/>
        <w:jc w:val="center"/>
        <w:rPr>
          <w:rFonts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14:paraId="3EB3D7A5">
      <w:pPr>
        <w:widowControl/>
        <w:jc w:val="left"/>
        <w:rPr>
          <w:rFonts w:cs="仿宋" w:asciiTheme="minorEastAsia" w:hAnsiTheme="minorEastAsia" w:eastAsiaTheme="minorEastAsia"/>
          <w:sz w:val="28"/>
        </w:rPr>
      </w:pPr>
    </w:p>
    <w:tbl>
      <w:tblPr>
        <w:tblStyle w:val="23"/>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19"/>
        <w:gridCol w:w="6555"/>
      </w:tblGrid>
      <w:tr w14:paraId="092D1243">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63B16CC3">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14:paraId="1D79F1FD">
            <w:pPr>
              <w:widowControl/>
              <w:spacing w:line="480" w:lineRule="auto"/>
              <w:jc w:val="center"/>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szCs w:val="21"/>
                <w:lang w:eastAsia="zh-CN"/>
              </w:rPr>
              <w:t>治安支队综合食材配送服务项目（追加）</w:t>
            </w:r>
          </w:p>
        </w:tc>
      </w:tr>
      <w:tr w14:paraId="377EE8C5">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6409A6E">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14:paraId="1CA665B9">
            <w:pPr>
              <w:widowControl/>
              <w:spacing w:line="480" w:lineRule="auto"/>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FTZXDL-2024-00083</w:t>
            </w:r>
          </w:p>
        </w:tc>
      </w:tr>
      <w:tr w14:paraId="45CB5C6E">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6BF2EB92">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14:paraId="33A37631">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14:paraId="5D4610DE">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72DE2B20">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14:paraId="7A6F751F">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14:paraId="642D90E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14:paraId="65D0B0A8">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14:paraId="597D9154">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14:paraId="237B7D7F">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5FCF176">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14:paraId="79AC798A">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14:paraId="61335F02">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3072F2EF">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14:paraId="020F5AF5">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14:paraId="2DC2A132">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5606B9DF">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候选中标供应商</w:t>
            </w:r>
          </w:p>
        </w:tc>
        <w:tc>
          <w:tcPr>
            <w:tcW w:w="6555" w:type="dxa"/>
            <w:vAlign w:val="center"/>
          </w:tcPr>
          <w:p w14:paraId="4E13244E">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公开征集：3家；邀请竞标：2家；直接采购：1家</w:t>
            </w:r>
          </w:p>
        </w:tc>
      </w:tr>
      <w:tr w14:paraId="0E66159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60230981">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14:paraId="05E4C6AC">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14:paraId="0C9D292D">
      <w:pPr>
        <w:widowControl/>
        <w:jc w:val="left"/>
        <w:rPr>
          <w:rFonts w:cs="仿宋" w:asciiTheme="minorEastAsia" w:hAnsiTheme="minorEastAsia" w:eastAsiaTheme="minorEastAsia"/>
          <w:b/>
          <w:sz w:val="36"/>
        </w:rPr>
      </w:pPr>
      <w:r>
        <w:rPr>
          <w:rFonts w:hint="eastAsia" w:cs="仿宋" w:asciiTheme="minorEastAsia" w:hAnsiTheme="minorEastAsia" w:eastAsiaTheme="minorEastAsia"/>
          <w:b/>
          <w:sz w:val="36"/>
        </w:rPr>
        <w:br w:type="page"/>
      </w:r>
    </w:p>
    <w:p w14:paraId="246811B0">
      <w:pPr>
        <w:spacing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p w14:paraId="0F6714EA">
      <w:pPr>
        <w:jc w:val="center"/>
        <w:rPr>
          <w:rFonts w:cs="仿宋" w:asciiTheme="minorEastAsia" w:hAnsiTheme="minorEastAsia" w:eastAsiaTheme="minorEastAsia"/>
          <w:b/>
          <w:sz w:val="20"/>
        </w:rPr>
      </w:pPr>
    </w:p>
    <w:tbl>
      <w:tblPr>
        <w:tblStyle w:val="2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996"/>
      </w:tblGrid>
      <w:tr w14:paraId="7EC8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E881AC3">
            <w:pPr>
              <w:widowControl/>
              <w:spacing w:line="460" w:lineRule="exact"/>
              <w:jc w:val="center"/>
              <w:rPr>
                <w:rFonts w:ascii="仿宋_GB2312" w:eastAsia="仿宋_GB2312" w:cs="仿宋" w:hAnsiTheme="minorEastAsia"/>
                <w:sz w:val="24"/>
              </w:rPr>
            </w:pPr>
          </w:p>
        </w:tc>
        <w:tc>
          <w:tcPr>
            <w:tcW w:w="6996" w:type="dxa"/>
            <w:vAlign w:val="center"/>
          </w:tcPr>
          <w:p w14:paraId="6AD354D2">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采购公告</w:t>
            </w:r>
          </w:p>
        </w:tc>
      </w:tr>
      <w:tr w14:paraId="1DAD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A0A4F2D">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14:paraId="246CD751">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14:paraId="2063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567F4D1">
            <w:pPr>
              <w:widowControl/>
              <w:spacing w:line="460" w:lineRule="exact"/>
              <w:jc w:val="center"/>
              <w:rPr>
                <w:rFonts w:ascii="仿宋_GB2312" w:eastAsia="仿宋_GB2312" w:cs="仿宋" w:hAnsiTheme="minorEastAsia"/>
                <w:sz w:val="24"/>
              </w:rPr>
            </w:pPr>
          </w:p>
        </w:tc>
        <w:tc>
          <w:tcPr>
            <w:tcW w:w="6996" w:type="dxa"/>
            <w:vAlign w:val="center"/>
          </w:tcPr>
          <w:p w14:paraId="1BC58F4C">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14:paraId="4959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80D8F75">
            <w:pPr>
              <w:widowControl/>
              <w:spacing w:line="460" w:lineRule="exact"/>
              <w:jc w:val="center"/>
              <w:rPr>
                <w:rFonts w:ascii="仿宋_GB2312" w:eastAsia="仿宋_GB2312" w:cs="仿宋" w:hAnsiTheme="minorEastAsia"/>
                <w:sz w:val="24"/>
              </w:rPr>
            </w:pPr>
          </w:p>
        </w:tc>
        <w:tc>
          <w:tcPr>
            <w:tcW w:w="6996" w:type="dxa"/>
            <w:vAlign w:val="center"/>
          </w:tcPr>
          <w:p w14:paraId="5A4A9075">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14:paraId="35AD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97758DC">
            <w:pPr>
              <w:widowControl/>
              <w:spacing w:line="460" w:lineRule="exact"/>
              <w:jc w:val="center"/>
              <w:rPr>
                <w:rFonts w:ascii="仿宋_GB2312" w:eastAsia="仿宋_GB2312" w:cs="仿宋" w:hAnsiTheme="minorEastAsia"/>
                <w:sz w:val="24"/>
              </w:rPr>
            </w:pPr>
          </w:p>
        </w:tc>
        <w:tc>
          <w:tcPr>
            <w:tcW w:w="6996" w:type="dxa"/>
            <w:vAlign w:val="center"/>
          </w:tcPr>
          <w:p w14:paraId="7418F55F">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评审信息</w:t>
            </w:r>
          </w:p>
        </w:tc>
      </w:tr>
      <w:tr w14:paraId="47A1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C803834">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14:paraId="2C553914">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采购项目需求</w:t>
            </w:r>
          </w:p>
        </w:tc>
      </w:tr>
      <w:tr w14:paraId="74BE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897596D">
            <w:pPr>
              <w:widowControl/>
              <w:spacing w:line="460" w:lineRule="exact"/>
              <w:jc w:val="center"/>
              <w:rPr>
                <w:rFonts w:ascii="仿宋_GB2312" w:eastAsia="仿宋_GB2312" w:cs="仿宋" w:hAnsiTheme="minorEastAsia"/>
                <w:sz w:val="24"/>
              </w:rPr>
            </w:pPr>
          </w:p>
        </w:tc>
        <w:tc>
          <w:tcPr>
            <w:tcW w:w="6996" w:type="dxa"/>
            <w:vAlign w:val="center"/>
          </w:tcPr>
          <w:p w14:paraId="0C7B0E5B">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采购项目需求</w:t>
            </w:r>
          </w:p>
        </w:tc>
      </w:tr>
      <w:tr w14:paraId="2EDD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3E9D655">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14:paraId="2E281E59">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投标文件格式</w:t>
            </w:r>
          </w:p>
        </w:tc>
      </w:tr>
      <w:tr w14:paraId="43CA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AE2EDDA">
            <w:pPr>
              <w:widowControl/>
              <w:spacing w:line="460" w:lineRule="exact"/>
              <w:jc w:val="center"/>
              <w:rPr>
                <w:rFonts w:ascii="仿宋_GB2312" w:eastAsia="仿宋_GB2312" w:cs="仿宋" w:hAnsiTheme="minorEastAsia"/>
                <w:sz w:val="24"/>
              </w:rPr>
            </w:pPr>
          </w:p>
        </w:tc>
        <w:tc>
          <w:tcPr>
            <w:tcW w:w="6996" w:type="dxa"/>
            <w:vAlign w:val="center"/>
          </w:tcPr>
          <w:p w14:paraId="043AD525">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投标文件目录</w:t>
            </w:r>
          </w:p>
        </w:tc>
      </w:tr>
      <w:tr w14:paraId="4E0A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3B354C8">
            <w:pPr>
              <w:widowControl/>
              <w:spacing w:line="460" w:lineRule="exact"/>
              <w:jc w:val="center"/>
              <w:rPr>
                <w:rFonts w:ascii="仿宋_GB2312" w:eastAsia="仿宋_GB2312" w:cs="仿宋" w:hAnsiTheme="minorEastAsia"/>
                <w:sz w:val="24"/>
              </w:rPr>
            </w:pPr>
          </w:p>
        </w:tc>
        <w:tc>
          <w:tcPr>
            <w:tcW w:w="6996" w:type="dxa"/>
            <w:vAlign w:val="center"/>
          </w:tcPr>
          <w:p w14:paraId="5917E381">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14:paraId="616AC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DE8D9B9">
            <w:pPr>
              <w:widowControl/>
              <w:spacing w:line="460" w:lineRule="exact"/>
              <w:jc w:val="center"/>
              <w:rPr>
                <w:rFonts w:ascii="仿宋_GB2312" w:eastAsia="仿宋_GB2312" w:cs="仿宋" w:hAnsiTheme="minorEastAsia"/>
                <w:sz w:val="24"/>
              </w:rPr>
            </w:pPr>
          </w:p>
        </w:tc>
        <w:tc>
          <w:tcPr>
            <w:tcW w:w="6996" w:type="dxa"/>
            <w:vAlign w:val="center"/>
          </w:tcPr>
          <w:p w14:paraId="7C8A2B5E">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评审指引表</w:t>
            </w:r>
          </w:p>
        </w:tc>
      </w:tr>
      <w:tr w14:paraId="3389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811765D">
            <w:pPr>
              <w:widowControl/>
              <w:spacing w:line="460" w:lineRule="exact"/>
              <w:jc w:val="center"/>
              <w:rPr>
                <w:rFonts w:ascii="仿宋_GB2312" w:eastAsia="仿宋_GB2312" w:cs="仿宋" w:hAnsiTheme="minorEastAsia"/>
                <w:sz w:val="24"/>
              </w:rPr>
            </w:pPr>
          </w:p>
        </w:tc>
        <w:tc>
          <w:tcPr>
            <w:tcW w:w="6996" w:type="dxa"/>
            <w:vAlign w:val="center"/>
          </w:tcPr>
          <w:p w14:paraId="27ED067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格式1 声明函</w:t>
            </w:r>
          </w:p>
        </w:tc>
      </w:tr>
      <w:tr w14:paraId="3CAA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AF46FAC">
            <w:pPr>
              <w:widowControl/>
              <w:spacing w:line="460" w:lineRule="exact"/>
              <w:jc w:val="center"/>
              <w:rPr>
                <w:rFonts w:ascii="仿宋_GB2312" w:eastAsia="仿宋_GB2312" w:cs="仿宋" w:hAnsiTheme="minorEastAsia"/>
                <w:sz w:val="24"/>
              </w:rPr>
            </w:pPr>
          </w:p>
        </w:tc>
        <w:tc>
          <w:tcPr>
            <w:tcW w:w="6996" w:type="dxa"/>
            <w:vAlign w:val="center"/>
          </w:tcPr>
          <w:p w14:paraId="34F44337">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14:paraId="6C95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463418B">
            <w:pPr>
              <w:widowControl/>
              <w:spacing w:line="460" w:lineRule="exact"/>
              <w:jc w:val="center"/>
              <w:rPr>
                <w:rFonts w:ascii="仿宋_GB2312" w:eastAsia="仿宋_GB2312" w:cs="仿宋" w:hAnsiTheme="minorEastAsia"/>
                <w:sz w:val="24"/>
              </w:rPr>
            </w:pPr>
          </w:p>
        </w:tc>
        <w:tc>
          <w:tcPr>
            <w:tcW w:w="6996" w:type="dxa"/>
            <w:vAlign w:val="center"/>
          </w:tcPr>
          <w:p w14:paraId="5A15E35C">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14:paraId="3237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D1E6E5D">
            <w:pPr>
              <w:widowControl/>
              <w:spacing w:line="460" w:lineRule="exact"/>
              <w:jc w:val="center"/>
              <w:rPr>
                <w:rFonts w:ascii="仿宋_GB2312" w:eastAsia="仿宋_GB2312" w:cs="仿宋" w:hAnsiTheme="minorEastAsia"/>
                <w:sz w:val="24"/>
              </w:rPr>
            </w:pPr>
          </w:p>
        </w:tc>
        <w:tc>
          <w:tcPr>
            <w:tcW w:w="6996" w:type="dxa"/>
            <w:vAlign w:val="center"/>
          </w:tcPr>
          <w:p w14:paraId="3BFA0728">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14:paraId="184A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D4489A3">
            <w:pPr>
              <w:widowControl/>
              <w:spacing w:line="460" w:lineRule="exact"/>
              <w:jc w:val="center"/>
              <w:rPr>
                <w:rFonts w:ascii="仿宋_GB2312" w:eastAsia="仿宋_GB2312" w:cs="仿宋" w:hAnsiTheme="minorEastAsia"/>
                <w:sz w:val="24"/>
              </w:rPr>
            </w:pPr>
          </w:p>
        </w:tc>
        <w:tc>
          <w:tcPr>
            <w:tcW w:w="6996" w:type="dxa"/>
            <w:vAlign w:val="center"/>
          </w:tcPr>
          <w:p w14:paraId="25E4F645">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格式5 报价表</w:t>
            </w:r>
          </w:p>
        </w:tc>
      </w:tr>
      <w:tr w14:paraId="383B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A931F83">
            <w:pPr>
              <w:widowControl/>
              <w:spacing w:line="460" w:lineRule="exact"/>
              <w:jc w:val="center"/>
              <w:rPr>
                <w:rFonts w:ascii="仿宋_GB2312" w:eastAsia="仿宋_GB2312" w:cs="仿宋" w:hAnsiTheme="minorEastAsia"/>
                <w:sz w:val="24"/>
              </w:rPr>
            </w:pPr>
          </w:p>
        </w:tc>
        <w:tc>
          <w:tcPr>
            <w:tcW w:w="6996" w:type="dxa"/>
            <w:vAlign w:val="center"/>
          </w:tcPr>
          <w:p w14:paraId="51B7867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14:paraId="51CD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8877980">
            <w:pPr>
              <w:widowControl/>
              <w:spacing w:line="460" w:lineRule="exact"/>
              <w:jc w:val="center"/>
              <w:rPr>
                <w:rFonts w:ascii="仿宋_GB2312" w:eastAsia="仿宋_GB2312" w:cs="仿宋" w:hAnsiTheme="minorEastAsia"/>
                <w:sz w:val="24"/>
              </w:rPr>
            </w:pPr>
          </w:p>
        </w:tc>
        <w:tc>
          <w:tcPr>
            <w:tcW w:w="6996" w:type="dxa"/>
            <w:vAlign w:val="center"/>
          </w:tcPr>
          <w:p w14:paraId="6095A964">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格式7 差异表</w:t>
            </w:r>
          </w:p>
        </w:tc>
      </w:tr>
      <w:tr w14:paraId="60B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BFA5153">
            <w:pPr>
              <w:widowControl/>
              <w:spacing w:line="460" w:lineRule="exact"/>
              <w:jc w:val="center"/>
              <w:rPr>
                <w:rFonts w:ascii="仿宋_GB2312" w:eastAsia="仿宋_GB2312" w:cs="仿宋" w:hAnsiTheme="minorEastAsia"/>
                <w:sz w:val="24"/>
              </w:rPr>
            </w:pPr>
          </w:p>
        </w:tc>
        <w:tc>
          <w:tcPr>
            <w:tcW w:w="6996" w:type="dxa"/>
            <w:vAlign w:val="center"/>
          </w:tcPr>
          <w:p w14:paraId="70544B33">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格式8 其他征集文件要求的资料或投标供应商认为需要补充的资料</w:t>
            </w:r>
          </w:p>
        </w:tc>
      </w:tr>
      <w:tr w14:paraId="5B9C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C49AFBC">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14:paraId="4108E68F">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合同条款</w:t>
            </w:r>
          </w:p>
        </w:tc>
      </w:tr>
      <w:tr w14:paraId="13E2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11BF40E">
            <w:pPr>
              <w:widowControl/>
              <w:spacing w:line="460" w:lineRule="exact"/>
              <w:jc w:val="center"/>
              <w:rPr>
                <w:rFonts w:ascii="仿宋_GB2312" w:eastAsia="仿宋_GB2312" w:cs="仿宋" w:hAnsiTheme="minorEastAsia"/>
                <w:sz w:val="24"/>
              </w:rPr>
            </w:pPr>
          </w:p>
        </w:tc>
        <w:tc>
          <w:tcPr>
            <w:tcW w:w="6996" w:type="dxa"/>
            <w:vAlign w:val="center"/>
          </w:tcPr>
          <w:p w14:paraId="3C145E41">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合同条款</w:t>
            </w:r>
          </w:p>
        </w:tc>
      </w:tr>
      <w:tr w14:paraId="08C9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FD66E94">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14:paraId="6FCCA8B4">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通用条款（投标须知）</w:t>
            </w:r>
          </w:p>
        </w:tc>
      </w:tr>
      <w:tr w14:paraId="2BEB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41B3C11">
            <w:pPr>
              <w:widowControl/>
              <w:spacing w:line="460" w:lineRule="exact"/>
              <w:jc w:val="center"/>
              <w:rPr>
                <w:rFonts w:ascii="仿宋_GB2312" w:eastAsia="仿宋_GB2312" w:cs="仿宋" w:hAnsiTheme="minorEastAsia"/>
                <w:sz w:val="24"/>
              </w:rPr>
            </w:pPr>
          </w:p>
        </w:tc>
        <w:tc>
          <w:tcPr>
            <w:tcW w:w="6996" w:type="dxa"/>
            <w:vAlign w:val="center"/>
          </w:tcPr>
          <w:p w14:paraId="59A1BD84">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14:paraId="48481AC7">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D、投标文件递交；E、开标和评审；F、授予合同；；G、公开征集失败的后续处理</w:t>
            </w:r>
          </w:p>
        </w:tc>
      </w:tr>
      <w:tr w14:paraId="6279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DEAFD9A">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14:paraId="48B10391">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附件</w:t>
            </w:r>
          </w:p>
        </w:tc>
      </w:tr>
      <w:tr w14:paraId="15EC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1CC5BFB">
            <w:pPr>
              <w:widowControl/>
              <w:spacing w:line="460" w:lineRule="exact"/>
              <w:jc w:val="center"/>
              <w:rPr>
                <w:rFonts w:ascii="仿宋_GB2312" w:eastAsia="仿宋_GB2312" w:cs="仿宋" w:hAnsiTheme="minorEastAsia"/>
                <w:sz w:val="24"/>
              </w:rPr>
            </w:pPr>
          </w:p>
        </w:tc>
        <w:tc>
          <w:tcPr>
            <w:tcW w:w="6996" w:type="dxa"/>
            <w:vAlign w:val="center"/>
          </w:tcPr>
          <w:p w14:paraId="4CC25ACA">
            <w:pPr>
              <w:spacing w:line="460" w:lineRule="exact"/>
              <w:rPr>
                <w:rFonts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39"/>
            <w:bookmarkStart w:id="3" w:name="_Hlt356375840"/>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14:paraId="1FCDC605">
      <w:pPr>
        <w:jc w:val="left"/>
        <w:rPr>
          <w:rFonts w:cs="仿宋" w:asciiTheme="minorEastAsia" w:hAnsiTheme="minorEastAsia" w:eastAsiaTheme="minorEastAsia"/>
        </w:rPr>
      </w:pPr>
    </w:p>
    <w:p w14:paraId="3DD8A790">
      <w:pPr>
        <w:pStyle w:val="4"/>
        <w:keepNext w:val="0"/>
        <w:rPr>
          <w:rFonts w:cs="仿宋" w:asciiTheme="minorEastAsia" w:hAnsiTheme="minorEastAsia" w:eastAsiaTheme="minorEastAsia"/>
          <w:b/>
          <w:snapToGrid w:val="0"/>
          <w:color w:val="auto"/>
          <w:kern w:val="0"/>
          <w:sz w:val="72"/>
        </w:rPr>
      </w:pPr>
    </w:p>
    <w:p w14:paraId="5496C891">
      <w:pPr>
        <w:pStyle w:val="4"/>
        <w:keepNext w:val="0"/>
        <w:rPr>
          <w:rFonts w:cs="仿宋" w:asciiTheme="minorEastAsia" w:hAnsiTheme="minorEastAsia" w:eastAsiaTheme="minorEastAsia"/>
          <w:b/>
          <w:snapToGrid w:val="0"/>
          <w:color w:val="auto"/>
          <w:kern w:val="0"/>
          <w:sz w:val="72"/>
        </w:rPr>
      </w:pPr>
    </w:p>
    <w:p w14:paraId="5CE22B0A">
      <w:pPr>
        <w:pStyle w:val="4"/>
        <w:keepNext w:val="0"/>
        <w:rPr>
          <w:rFonts w:cs="仿宋" w:asciiTheme="minorEastAsia" w:hAnsiTheme="minorEastAsia" w:eastAsiaTheme="minorEastAsia"/>
          <w:b/>
          <w:snapToGrid w:val="0"/>
          <w:color w:val="auto"/>
          <w:kern w:val="0"/>
          <w:sz w:val="72"/>
        </w:rPr>
      </w:pPr>
    </w:p>
    <w:p w14:paraId="34836E93">
      <w:pPr>
        <w:pStyle w:val="4"/>
        <w:keepNext w:val="0"/>
        <w:rPr>
          <w:rFonts w:cs="仿宋" w:asciiTheme="minorEastAsia" w:hAnsiTheme="minorEastAsia" w:eastAsiaTheme="minorEastAsia"/>
          <w:b/>
          <w:snapToGrid w:val="0"/>
          <w:color w:val="auto"/>
          <w:kern w:val="0"/>
          <w:sz w:val="72"/>
        </w:rPr>
      </w:pPr>
    </w:p>
    <w:p w14:paraId="5C55D560">
      <w:pPr>
        <w:pStyle w:val="4"/>
        <w:keepNext w:val="0"/>
        <w:rPr>
          <w:rFonts w:cs="仿宋" w:asciiTheme="minorEastAsia" w:hAnsiTheme="minorEastAsia" w:eastAsiaTheme="minorEastAsia"/>
          <w:b/>
          <w:snapToGrid w:val="0"/>
          <w:color w:val="auto"/>
          <w:kern w:val="0"/>
          <w:sz w:val="72"/>
        </w:rPr>
      </w:pPr>
    </w:p>
    <w:p w14:paraId="651FEB66">
      <w:pPr>
        <w:pStyle w:val="4"/>
        <w:keepNext w:val="0"/>
        <w:rPr>
          <w:rFonts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14:paraId="0429E0CE">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14:paraId="5381EAFA">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治安支队综合食材配送服务项目（追加）</w:t>
      </w:r>
      <w:r>
        <w:rPr>
          <w:rFonts w:hint="eastAsia" w:ascii="仿宋_GB2312" w:hAnsi="黑体" w:eastAsia="仿宋_GB2312" w:cs="仿宋"/>
          <w:b/>
          <w:bCs/>
          <w:snapToGrid w:val="0"/>
          <w:kern w:val="0"/>
          <w:sz w:val="32"/>
          <w:szCs w:val="32"/>
        </w:rPr>
        <w:t>采购公告</w:t>
      </w:r>
    </w:p>
    <w:p w14:paraId="23AB249A">
      <w:pPr>
        <w:spacing w:line="360" w:lineRule="auto"/>
        <w:rPr>
          <w:rFonts w:cs="仿宋" w:asciiTheme="minorEastAsia" w:hAnsiTheme="minorEastAsia" w:eastAsiaTheme="minorEastAsia"/>
          <w:b/>
          <w:sz w:val="24"/>
          <w:szCs w:val="24"/>
        </w:rPr>
      </w:pPr>
    </w:p>
    <w:p w14:paraId="3D0A6EB1">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14:paraId="1B1501E5">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lang w:eastAsia="zh-CN"/>
        </w:rPr>
        <w:t>治安支队综合食材配送服务项目（追加）</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10</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30</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rPr>
        <w:t>10</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14:paraId="3B809C82">
      <w:pPr>
        <w:spacing w:line="360" w:lineRule="auto"/>
        <w:rPr>
          <w:rFonts w:cs="仿宋" w:asciiTheme="minorEastAsia" w:hAnsiTheme="minorEastAsia" w:eastAsiaTheme="minorEastAsia"/>
          <w:b/>
          <w:bCs/>
          <w:szCs w:val="21"/>
        </w:rPr>
      </w:pPr>
    </w:p>
    <w:p w14:paraId="72F5AC05">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7A87443B">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1、项目编号：</w:t>
      </w:r>
      <w:r>
        <w:rPr>
          <w:rFonts w:hint="eastAsia" w:cs="仿宋" w:asciiTheme="minorEastAsia" w:hAnsiTheme="minorEastAsia" w:eastAsiaTheme="minorEastAsia"/>
          <w:bCs/>
          <w:szCs w:val="21"/>
          <w:lang w:eastAsia="zh-CN"/>
        </w:rPr>
        <w:t>FTZXDL-2024-00083</w:t>
      </w:r>
    </w:p>
    <w:p w14:paraId="41D47FC0">
      <w:pPr>
        <w:keepNext w:val="0"/>
        <w:keepLines w:val="0"/>
        <w:pageBreakBefore w:val="0"/>
        <w:widowControl w:val="0"/>
        <w:kinsoku/>
        <w:wordWrap/>
        <w:overflowPunct/>
        <w:topLinePunct w:val="0"/>
        <w:autoSpaceDE/>
        <w:autoSpaceDN/>
        <w:bidi w:val="0"/>
        <w:adjustRightInd/>
        <w:snapToGrid/>
        <w:spacing w:line="360" w:lineRule="auto"/>
        <w:ind w:firstLine="371" w:firstLineChars="177"/>
        <w:textAlignment w:val="auto"/>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2、项目名称：</w:t>
      </w:r>
      <w:r>
        <w:rPr>
          <w:rFonts w:hint="eastAsia" w:cs="仿宋" w:asciiTheme="minorEastAsia" w:hAnsiTheme="minorEastAsia" w:eastAsiaTheme="minorEastAsia"/>
          <w:bCs/>
          <w:szCs w:val="21"/>
          <w:lang w:eastAsia="zh-CN"/>
        </w:rPr>
        <w:t>治安支队综合食材配送服务项目（追加）</w:t>
      </w:r>
    </w:p>
    <w:p w14:paraId="68AF8753">
      <w:pPr>
        <w:pStyle w:val="2"/>
        <w:keepNext w:val="0"/>
        <w:keepLines w:val="0"/>
        <w:pageBreakBefore w:val="0"/>
        <w:widowControl w:val="0"/>
        <w:kinsoku/>
        <w:wordWrap/>
        <w:overflowPunct/>
        <w:topLinePunct w:val="0"/>
        <w:autoSpaceDE/>
        <w:autoSpaceDN/>
        <w:bidi w:val="0"/>
        <w:adjustRightInd/>
        <w:snapToGrid/>
        <w:spacing w:after="0" w:line="360" w:lineRule="auto"/>
        <w:ind w:firstLine="369" w:firstLineChars="176"/>
        <w:textAlignment w:val="auto"/>
        <w:rPr>
          <w:rFonts w:hint="eastAsia" w:ascii="宋体" w:hAnsi="宋体" w:eastAsia="宋体" w:cs="宋体"/>
          <w:lang w:val="en-US" w:eastAsia="zh-CN"/>
        </w:rPr>
      </w:pPr>
      <w:r>
        <w:rPr>
          <w:rFonts w:hint="eastAsia" w:ascii="宋体" w:hAnsi="宋体" w:eastAsia="宋体" w:cs="宋体"/>
          <w:bCs/>
          <w:szCs w:val="21"/>
          <w:lang w:val="en-US" w:eastAsia="zh-CN"/>
        </w:rPr>
        <w:t>3、</w:t>
      </w:r>
      <w:r>
        <w:rPr>
          <w:rFonts w:hint="eastAsia" w:ascii="宋体" w:hAnsi="宋体" w:eastAsia="宋体" w:cs="宋体"/>
          <w:lang w:val="en-US" w:eastAsia="zh-CN"/>
        </w:rPr>
        <w:t>服务属性：食材配送服务，编号：B110501</w:t>
      </w:r>
    </w:p>
    <w:p w14:paraId="0DDB9ABC">
      <w:pPr>
        <w:keepNext w:val="0"/>
        <w:keepLines w:val="0"/>
        <w:pageBreakBefore w:val="0"/>
        <w:widowControl w:val="0"/>
        <w:kinsoku/>
        <w:wordWrap/>
        <w:overflowPunct/>
        <w:topLinePunct w:val="0"/>
        <w:autoSpaceDE/>
        <w:autoSpaceDN/>
        <w:bidi w:val="0"/>
        <w:adjustRightInd/>
        <w:snapToGrid/>
        <w:spacing w:line="360" w:lineRule="auto"/>
        <w:ind w:firstLine="371" w:firstLineChars="177"/>
        <w:textAlignment w:val="auto"/>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4</w:t>
      </w:r>
      <w:r>
        <w:rPr>
          <w:rFonts w:hint="eastAsia" w:cs="仿宋" w:asciiTheme="minorEastAsia" w:hAnsiTheme="minorEastAsia" w:eastAsiaTheme="minorEastAsia"/>
          <w:bCs/>
          <w:szCs w:val="21"/>
        </w:rPr>
        <w:t>、预算金额：人民币</w:t>
      </w:r>
      <w:r>
        <w:rPr>
          <w:rFonts w:hint="eastAsia" w:cs="仿宋" w:asciiTheme="minorEastAsia" w:hAnsiTheme="minorEastAsia" w:eastAsiaTheme="minorEastAsia"/>
          <w:bCs/>
          <w:szCs w:val="21"/>
          <w:lang w:eastAsia="zh-CN"/>
        </w:rPr>
        <w:t>396,900.00</w:t>
      </w:r>
      <w:r>
        <w:rPr>
          <w:rFonts w:hint="eastAsia" w:cs="仿宋" w:asciiTheme="minorEastAsia" w:hAnsiTheme="minorEastAsia" w:eastAsiaTheme="minorEastAsia"/>
          <w:bCs/>
          <w:szCs w:val="21"/>
        </w:rPr>
        <w:t>元</w:t>
      </w:r>
    </w:p>
    <w:p w14:paraId="0172D571">
      <w:pPr>
        <w:keepNext w:val="0"/>
        <w:keepLines w:val="0"/>
        <w:pageBreakBefore w:val="0"/>
        <w:widowControl w:val="0"/>
        <w:kinsoku/>
        <w:wordWrap/>
        <w:overflowPunct/>
        <w:topLinePunct w:val="0"/>
        <w:autoSpaceDE/>
        <w:autoSpaceDN/>
        <w:bidi w:val="0"/>
        <w:adjustRightInd/>
        <w:snapToGrid/>
        <w:spacing w:line="360" w:lineRule="auto"/>
        <w:ind w:firstLine="371" w:firstLineChars="177"/>
        <w:textAlignment w:val="auto"/>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5</w:t>
      </w:r>
      <w:r>
        <w:rPr>
          <w:rFonts w:hint="eastAsia" w:cs="仿宋" w:asciiTheme="minorEastAsia" w:hAnsiTheme="minorEastAsia" w:eastAsiaTheme="minorEastAsia"/>
          <w:bCs/>
          <w:szCs w:val="21"/>
        </w:rPr>
        <w:t>、最高限价：人民币</w:t>
      </w:r>
      <w:r>
        <w:rPr>
          <w:rFonts w:hint="eastAsia" w:cs="仿宋" w:asciiTheme="minorEastAsia" w:hAnsiTheme="minorEastAsia" w:eastAsiaTheme="minorEastAsia"/>
          <w:bCs/>
          <w:szCs w:val="21"/>
          <w:lang w:eastAsia="zh-CN"/>
        </w:rPr>
        <w:t>396,900.00</w:t>
      </w:r>
      <w:r>
        <w:rPr>
          <w:rFonts w:hint="eastAsia" w:cs="仿宋" w:asciiTheme="minorEastAsia" w:hAnsiTheme="minorEastAsia" w:eastAsiaTheme="minorEastAsia"/>
          <w:bCs/>
          <w:szCs w:val="21"/>
        </w:rPr>
        <w:t>元</w:t>
      </w:r>
    </w:p>
    <w:p w14:paraId="59E54B6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6</w:t>
      </w:r>
      <w:r>
        <w:rPr>
          <w:rFonts w:hint="eastAsia" w:cs="仿宋" w:asciiTheme="minorEastAsia" w:hAnsiTheme="minorEastAsia" w:eastAsiaTheme="minorEastAsia"/>
          <w:bCs/>
          <w:szCs w:val="21"/>
        </w:rPr>
        <w:t>、采购方式：公开征集</w:t>
      </w:r>
    </w:p>
    <w:p w14:paraId="651ED94D">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7</w:t>
      </w:r>
      <w:r>
        <w:rPr>
          <w:rFonts w:hint="eastAsia" w:cs="仿宋" w:asciiTheme="minorEastAsia" w:hAnsiTheme="minorEastAsia" w:eastAsiaTheme="minorEastAsia"/>
          <w:bCs/>
          <w:szCs w:val="21"/>
        </w:rPr>
        <w:t>、采购需求：</w:t>
      </w:r>
    </w:p>
    <w:tbl>
      <w:tblPr>
        <w:tblStyle w:val="22"/>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514"/>
        <w:gridCol w:w="934"/>
        <w:gridCol w:w="2028"/>
      </w:tblGrid>
      <w:tr w14:paraId="6387F9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shd w:val="clear" w:color="auto" w:fill="C6D9F1"/>
            <w:vAlign w:val="center"/>
          </w:tcPr>
          <w:p w14:paraId="10422A61">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4514" w:type="dxa"/>
            <w:shd w:val="clear" w:color="auto" w:fill="C6D9F1"/>
            <w:vAlign w:val="center"/>
          </w:tcPr>
          <w:p w14:paraId="7753896D">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934" w:type="dxa"/>
            <w:shd w:val="clear" w:color="auto" w:fill="C6D9F1"/>
            <w:vAlign w:val="center"/>
          </w:tcPr>
          <w:p w14:paraId="717D95ED">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2028" w:type="dxa"/>
            <w:shd w:val="clear" w:color="auto" w:fill="C6D9F1"/>
            <w:vAlign w:val="center"/>
          </w:tcPr>
          <w:p w14:paraId="29A3A943">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286AC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3" w:type="dxa"/>
            <w:vAlign w:val="center"/>
          </w:tcPr>
          <w:p w14:paraId="76D84279">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4514" w:type="dxa"/>
            <w:vAlign w:val="center"/>
          </w:tcPr>
          <w:p w14:paraId="04D98F80">
            <w:pPr>
              <w:spacing w:line="360" w:lineRule="auto"/>
              <w:jc w:val="center"/>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lang w:eastAsia="zh-CN"/>
              </w:rPr>
              <w:t>治安支队综合食材配送服务项目（追加）</w:t>
            </w:r>
          </w:p>
        </w:tc>
        <w:tc>
          <w:tcPr>
            <w:tcW w:w="934" w:type="dxa"/>
            <w:vAlign w:val="center"/>
          </w:tcPr>
          <w:p w14:paraId="1B744E20">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2028" w:type="dxa"/>
            <w:vAlign w:val="center"/>
          </w:tcPr>
          <w:p w14:paraId="605C4B46">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14:paraId="13B478E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8</w:t>
      </w:r>
      <w:r>
        <w:rPr>
          <w:rFonts w:hint="eastAsia" w:cs="仿宋" w:asciiTheme="minorEastAsia" w:hAnsiTheme="minorEastAsia" w:eastAsiaTheme="minorEastAsia"/>
          <w:bCs/>
          <w:szCs w:val="21"/>
        </w:rPr>
        <w:t>、合同履行期限：详见征集文件。</w:t>
      </w:r>
    </w:p>
    <w:p w14:paraId="1C8175A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、是否联合体：本项目不接受联合体投标。</w:t>
      </w:r>
    </w:p>
    <w:p w14:paraId="74562FE2">
      <w:pPr>
        <w:spacing w:line="360" w:lineRule="auto"/>
        <w:rPr>
          <w:rFonts w:cs="仿宋" w:asciiTheme="minorEastAsia" w:hAnsiTheme="minorEastAsia" w:eastAsiaTheme="minorEastAsia"/>
          <w:b/>
          <w:bCs/>
          <w:szCs w:val="21"/>
        </w:rPr>
      </w:pPr>
    </w:p>
    <w:p w14:paraId="70058B5F">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13B2D7AD">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14:paraId="7BBF706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14:paraId="1F23F4A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14:paraId="4DFBA78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14:paraId="533E211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14:paraId="1D5FB40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【由投标供应商按征集文件规定的格式在《承诺函》中作出声明】；</w:t>
      </w:r>
    </w:p>
    <w:p w14:paraId="6B442D9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0595015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4FE35066">
      <w:pPr>
        <w:spacing w:line="360" w:lineRule="auto"/>
        <w:ind w:firstLine="371" w:firstLineChars="177"/>
        <w:rPr>
          <w:rFonts w:hint="eastAsia" w:cs="仿宋" w:asciiTheme="minorEastAsia" w:hAnsiTheme="minorEastAsia" w:eastAsiaTheme="minorEastAsia"/>
          <w:bCs/>
          <w:szCs w:val="21"/>
          <w:lang w:val="en-US" w:eastAsia="zh-CN"/>
        </w:rPr>
      </w:pPr>
      <w:r>
        <w:rPr>
          <w:rFonts w:hint="eastAsia" w:cs="仿宋" w:asciiTheme="minorEastAsia" w:hAnsiTheme="minorEastAsia" w:eastAsiaTheme="minorEastAsia"/>
          <w:bCs/>
          <w:szCs w:val="21"/>
          <w:lang w:val="en-US" w:eastAsia="zh-CN"/>
        </w:rPr>
        <w:t>9、投标供应商具有食品药品监督管理部门（或市场监督管理部门）颁发的有效《食品经营许可证》或仅销售预包装食品单位备案证明；如国家另有规定的则适用其规定，投标供应商须提供相关证明材料（提供证明文件扫描件，原件备查）；</w:t>
      </w:r>
    </w:p>
    <w:p w14:paraId="50CD765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、本项目不接受联合体投标，不允许非法分包或转包；</w:t>
      </w:r>
    </w:p>
    <w:p w14:paraId="1F08EBFF">
      <w:pPr>
        <w:spacing w:line="360" w:lineRule="auto"/>
        <w:ind w:firstLine="371" w:firstLineChars="177"/>
        <w:rPr>
          <w:rFonts w:cs="仿宋" w:asciiTheme="minorEastAsia" w:hAnsiTheme="minorEastAsia" w:eastAsiaTheme="minorEastAsia"/>
          <w:bCs/>
          <w:szCs w:val="21"/>
        </w:rPr>
      </w:pPr>
      <w:r>
        <w:rPr>
          <w:rFonts w:hint="eastAsia" w:ascii="宋体" w:hAnsi="宋体" w:cs="仿宋"/>
          <w:bCs/>
          <w:szCs w:val="21"/>
        </w:rPr>
        <w:t>1</w:t>
      </w:r>
      <w:r>
        <w:rPr>
          <w:rFonts w:hint="eastAsia" w:ascii="宋体" w:hAnsi="宋体" w:cs="仿宋"/>
          <w:bCs/>
          <w:szCs w:val="21"/>
          <w:lang w:val="en-US" w:eastAsia="zh-CN"/>
        </w:rPr>
        <w:t>1</w:t>
      </w:r>
      <w:r>
        <w:rPr>
          <w:rFonts w:hint="eastAsia" w:ascii="宋体" w:hAnsi="宋体" w:cs="仿宋"/>
          <w:bCs/>
          <w:szCs w:val="21"/>
        </w:rPr>
        <w:t>、</w:t>
      </w:r>
      <w:r>
        <w:rPr>
          <w:rFonts w:hint="eastAsia" w:ascii="宋体" w:hAnsi="宋体" w:cs="宋体"/>
          <w:bCs/>
          <w:kern w:val="0"/>
          <w:sz w:val="22"/>
        </w:rPr>
        <w:t>本项目是否专门面向中小企业采购：否。</w:t>
      </w:r>
    </w:p>
    <w:p w14:paraId="1E448F36">
      <w:pPr>
        <w:spacing w:line="360" w:lineRule="auto"/>
        <w:ind w:firstLine="371" w:firstLineChars="177"/>
        <w:rPr>
          <w:rFonts w:cs="仿宋" w:asciiTheme="minorEastAsia" w:hAnsiTheme="minorEastAsia" w:eastAsiaTheme="minorEastAsia"/>
          <w:bCs/>
          <w:szCs w:val="21"/>
        </w:rPr>
      </w:pPr>
    </w:p>
    <w:p w14:paraId="610F1CEF">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14:paraId="55E28E4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22</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29</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6EE4B20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24D39B9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14:paraId="36843A1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w:t>
      </w:r>
      <w:r>
        <w:rPr>
          <w:rFonts w:hint="eastAsia" w:ascii="宋体" w:hAnsi="宋体" w:cs="Arial Unicode MS"/>
          <w:snapToGrid w:val="0"/>
          <w:kern w:val="0"/>
          <w:szCs w:val="21"/>
        </w:rPr>
        <w:t>（提供加盖公章的《购买标书登记表》）</w:t>
      </w:r>
      <w:r>
        <w:rPr>
          <w:rFonts w:hint="eastAsia" w:cs="仿宋" w:asciiTheme="minorEastAsia" w:hAnsiTheme="minorEastAsia" w:eastAsiaTheme="minorEastAsia"/>
          <w:bCs/>
          <w:szCs w:val="21"/>
        </w:rPr>
        <w:t>，逾期不予受理。</w:t>
      </w:r>
    </w:p>
    <w:p w14:paraId="1EFEF30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14:paraId="5E3762CE">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14:paraId="177B1DC9">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14:paraId="7B99B866">
      <w:pPr>
        <w:spacing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3548342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30D8025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2885F448">
      <w:pPr>
        <w:spacing w:line="360" w:lineRule="auto"/>
        <w:ind w:firstLine="371" w:firstLineChars="177"/>
        <w:rPr>
          <w:rFonts w:cs="仿宋" w:asciiTheme="minorEastAsia" w:hAnsiTheme="minorEastAsia" w:eastAsiaTheme="minorEastAsia"/>
          <w:bCs/>
          <w:szCs w:val="21"/>
        </w:rPr>
      </w:pPr>
    </w:p>
    <w:p w14:paraId="727C460B">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065FB19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30</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rPr>
        <w:t>10</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rPr>
        <w:t>00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1804EA9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42CE9003">
      <w:pPr>
        <w:spacing w:line="360" w:lineRule="auto"/>
        <w:rPr>
          <w:rFonts w:cs="仿宋" w:asciiTheme="minorEastAsia" w:hAnsiTheme="minorEastAsia" w:eastAsiaTheme="minorEastAsia"/>
          <w:bCs/>
          <w:szCs w:val="21"/>
        </w:rPr>
      </w:pPr>
    </w:p>
    <w:p w14:paraId="3BB1F21A">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12E1350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14:paraId="29926B31">
      <w:pPr>
        <w:spacing w:line="360" w:lineRule="auto"/>
        <w:rPr>
          <w:rFonts w:cs="仿宋" w:asciiTheme="minorEastAsia" w:hAnsiTheme="minorEastAsia" w:eastAsiaTheme="minorEastAsia"/>
          <w:bCs/>
          <w:szCs w:val="21"/>
        </w:rPr>
      </w:pPr>
    </w:p>
    <w:p w14:paraId="14DACBFE">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751B18CF">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462DD54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14:paraId="33A8D10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① </w:t>
      </w:r>
      <w:r>
        <w:rPr>
          <w:rFonts w:hint="eastAsia" w:ascii="宋体" w:hAnsi="宋体" w:eastAsia="宋体"/>
          <w:snapToGrid w:val="0"/>
          <w:color w:val="auto"/>
          <w:sz w:val="21"/>
          <w:szCs w:val="21"/>
          <w:lang w:val="en-US" w:eastAsia="zh-CN"/>
        </w:rPr>
        <w:t>深圳政府采购自行采购</w:t>
      </w:r>
      <w:r>
        <w:rPr>
          <w:rFonts w:hint="eastAsia" w:ascii="宋体" w:hAnsi="宋体"/>
          <w:snapToGrid w:val="0"/>
          <w:color w:val="auto"/>
          <w:sz w:val="21"/>
          <w:szCs w:val="21"/>
          <w:lang w:val="en-US" w:eastAsia="zh-CN"/>
        </w:rPr>
        <w:t>网站</w:t>
      </w:r>
      <w:bookmarkStart w:id="13" w:name="_GoBack"/>
      <w:bookmarkEnd w:id="13"/>
      <w:r>
        <w:rPr>
          <w:rFonts w:hint="eastAsia" w:ascii="宋体" w:hAnsi="宋体" w:eastAsia="宋体"/>
          <w:snapToGrid w:val="0"/>
          <w:color w:val="auto"/>
          <w:sz w:val="21"/>
          <w:szCs w:val="21"/>
          <w:lang w:val="en-US" w:eastAsia="zh-CN"/>
        </w:rPr>
        <w:t>（https://zfcg.szexgrp.com/）</w:t>
      </w:r>
    </w:p>
    <w:p w14:paraId="4DE9F13D">
      <w:pPr>
        <w:spacing w:line="360" w:lineRule="auto"/>
        <w:ind w:firstLine="371" w:firstLineChars="177"/>
        <w:rPr>
          <w:rFonts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14:paraId="3274BD0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045609BE">
      <w:pPr>
        <w:pStyle w:val="48"/>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bCs/>
          <w:snapToGrid w:val="0"/>
          <w:color w:val="auto"/>
          <w:sz w:val="21"/>
          <w:szCs w:val="21"/>
        </w:rPr>
        <w:t>3、供应商如认为采购文件存在限制性、倾向性、其权益受到损害，应在采购文件公布之日起七个工作日内以书面形式提出质疑。请质疑供应商根据深圳公共资源交易网（https://www.szggzy.com/fwdh/fwdhzfcg/bszn1/content_203163.html）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7C95473B">
      <w:pPr>
        <w:pStyle w:val="48"/>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4、本项目投标供应商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14:paraId="4755B131">
      <w:pPr>
        <w:spacing w:line="360" w:lineRule="auto"/>
        <w:rPr>
          <w:rFonts w:cs="仿宋" w:asciiTheme="minorEastAsia" w:hAnsiTheme="minorEastAsia" w:eastAsiaTheme="minorEastAsia"/>
          <w:bCs/>
          <w:szCs w:val="21"/>
        </w:rPr>
      </w:pPr>
    </w:p>
    <w:p w14:paraId="169047B5">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3B43F64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5E1B8516">
      <w:pPr>
        <w:spacing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名称：</w:t>
      </w:r>
      <w:r>
        <w:rPr>
          <w:rFonts w:hint="eastAsia" w:cs="仿宋" w:asciiTheme="minorEastAsia" w:hAnsiTheme="minorEastAsia" w:eastAsiaTheme="minorEastAsia"/>
          <w:bCs/>
          <w:szCs w:val="21"/>
          <w:lang w:eastAsia="zh-CN"/>
        </w:rPr>
        <w:t>深圳市公安局治安管理支队</w:t>
      </w:r>
    </w:p>
    <w:p w14:paraId="4F198D5D">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6DE8E28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名称：深圳市中正招标有限公司</w:t>
      </w:r>
    </w:p>
    <w:p w14:paraId="0E50054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地址：深圳市福田区民田路171号新华保险大厦903</w:t>
      </w:r>
    </w:p>
    <w:p w14:paraId="0D3FA5A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联系方式：李工，0755-83026699</w:t>
      </w:r>
    </w:p>
    <w:p w14:paraId="521DA9BC">
      <w:pPr>
        <w:spacing w:line="360" w:lineRule="auto"/>
        <w:jc w:val="left"/>
        <w:rPr>
          <w:rFonts w:cs="仿宋" w:asciiTheme="minorEastAsia" w:hAnsiTheme="minorEastAsia" w:eastAsiaTheme="minorEastAsia"/>
          <w:b/>
          <w:bCs/>
          <w:szCs w:val="21"/>
        </w:rPr>
      </w:pPr>
    </w:p>
    <w:p w14:paraId="33E19546">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3BCF52D3">
      <w:pPr>
        <w:spacing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14:paraId="182A87F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14:paraId="687FAE0D">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71F6CEB5">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2024年</w:t>
      </w: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22</w:t>
      </w:r>
      <w:r>
        <w:rPr>
          <w:rFonts w:hint="eastAsia" w:cs="仿宋" w:asciiTheme="minorEastAsia" w:hAnsiTheme="minorEastAsia" w:eastAsiaTheme="minorEastAsia"/>
          <w:bCs/>
          <w:szCs w:val="21"/>
        </w:rPr>
        <w:t>日</w:t>
      </w:r>
    </w:p>
    <w:p w14:paraId="30DDDFC1">
      <w:pPr>
        <w:rPr>
          <w:rFonts w:cs="仿宋" w:asciiTheme="minorEastAsia" w:hAnsiTheme="minorEastAsia" w:eastAsiaTheme="minorEastAsia"/>
        </w:rPr>
      </w:pPr>
    </w:p>
    <w:p w14:paraId="03949DB1">
      <w:pPr>
        <w:rPr>
          <w:rFonts w:cs="仿宋" w:asciiTheme="minorEastAsia" w:hAnsiTheme="minorEastAsia" w:eastAsiaTheme="minorEastAsia"/>
        </w:rPr>
      </w:pPr>
    </w:p>
    <w:p w14:paraId="660AF051">
      <w:pPr>
        <w:rPr>
          <w:rFonts w:cs="仿宋" w:asciiTheme="minorEastAsia" w:hAnsiTheme="minorEastAsia" w:eastAsiaTheme="minorEastAsia"/>
        </w:rPr>
      </w:pPr>
    </w:p>
    <w:p w14:paraId="51FDFA43">
      <w:pPr>
        <w:rPr>
          <w:rFonts w:cs="仿宋" w:asciiTheme="minorEastAsia" w:hAnsiTheme="minorEastAsia" w:eastAsiaTheme="minorEastAsia"/>
        </w:rPr>
      </w:pPr>
    </w:p>
    <w:p w14:paraId="1EFCE9FD">
      <w:pPr>
        <w:rPr>
          <w:rFonts w:cs="仿宋" w:asciiTheme="minorEastAsia" w:hAnsiTheme="minorEastAsia" w:eastAsiaTheme="minorEastAsia"/>
        </w:rPr>
      </w:pPr>
    </w:p>
    <w:p w14:paraId="0C078582">
      <w:pPr>
        <w:rPr>
          <w:rFonts w:cs="仿宋" w:asciiTheme="minorEastAsia" w:hAnsiTheme="minorEastAsia" w:eastAsiaTheme="minorEastAsia"/>
        </w:rPr>
      </w:pPr>
    </w:p>
    <w:p w14:paraId="0B597688">
      <w:pPr>
        <w:rPr>
          <w:rFonts w:cs="仿宋" w:asciiTheme="minorEastAsia" w:hAnsiTheme="minorEastAsia" w:eastAsiaTheme="minorEastAsia"/>
        </w:rPr>
      </w:pPr>
    </w:p>
    <w:p w14:paraId="3692F270">
      <w:pPr>
        <w:rPr>
          <w:rFonts w:cs="仿宋" w:asciiTheme="minorEastAsia" w:hAnsiTheme="minorEastAsia" w:eastAsiaTheme="minorEastAsia"/>
        </w:rPr>
      </w:pPr>
    </w:p>
    <w:p w14:paraId="0647BAA0">
      <w:pPr>
        <w:rPr>
          <w:rFonts w:cs="仿宋" w:asciiTheme="minorEastAsia" w:hAnsiTheme="minorEastAsia" w:eastAsiaTheme="minorEastAsia"/>
        </w:rPr>
      </w:pPr>
    </w:p>
    <w:p w14:paraId="0E673335">
      <w:pPr>
        <w:rPr>
          <w:rFonts w:cs="仿宋" w:asciiTheme="minorEastAsia" w:hAnsiTheme="minorEastAsia" w:eastAsiaTheme="minorEastAsia"/>
        </w:rPr>
      </w:pPr>
    </w:p>
    <w:p w14:paraId="4C2B6C9B">
      <w:pPr>
        <w:rPr>
          <w:rFonts w:cs="仿宋" w:asciiTheme="minorEastAsia" w:hAnsiTheme="minorEastAsia" w:eastAsiaTheme="minorEastAsia"/>
        </w:rPr>
      </w:pPr>
    </w:p>
    <w:p w14:paraId="7B006F58">
      <w:pPr>
        <w:rPr>
          <w:rFonts w:cs="仿宋" w:asciiTheme="minorEastAsia" w:hAnsiTheme="minorEastAsia" w:eastAsiaTheme="minorEastAsia"/>
        </w:rPr>
      </w:pPr>
    </w:p>
    <w:p w14:paraId="38DB9610">
      <w:pPr>
        <w:rPr>
          <w:rFonts w:cs="仿宋" w:asciiTheme="minorEastAsia" w:hAnsiTheme="minorEastAsia" w:eastAsiaTheme="minorEastAsia"/>
        </w:rPr>
      </w:pPr>
    </w:p>
    <w:p w14:paraId="329FBFC8">
      <w:pPr>
        <w:rPr>
          <w:rFonts w:cs="仿宋" w:asciiTheme="minorEastAsia" w:hAnsiTheme="minorEastAsia" w:eastAsiaTheme="minorEastAsia"/>
        </w:rPr>
      </w:pPr>
    </w:p>
    <w:p w14:paraId="3D37942A">
      <w:pPr>
        <w:rPr>
          <w:rFonts w:cs="仿宋" w:asciiTheme="minorEastAsia" w:hAnsiTheme="minorEastAsia" w:eastAsiaTheme="minorEastAsia"/>
        </w:rPr>
      </w:pPr>
    </w:p>
    <w:p w14:paraId="698AF178">
      <w:pPr>
        <w:adjustRightInd w:val="0"/>
        <w:snapToGrid w:val="0"/>
        <w:spacing w:line="300" w:lineRule="auto"/>
        <w:jc w:val="center"/>
        <w:rPr>
          <w:rFonts w:cs="仿宋" w:asciiTheme="minorEastAsia" w:hAnsiTheme="minorEastAsia" w:eastAsiaTheme="minorEastAsia"/>
          <w:b/>
          <w:snapToGrid w:val="0"/>
          <w:kern w:val="0"/>
          <w:sz w:val="56"/>
          <w:szCs w:val="96"/>
        </w:rPr>
      </w:pPr>
    </w:p>
    <w:p w14:paraId="4A61C070">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14:paraId="5B04C54D">
      <w:pPr>
        <w:spacing w:line="36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14:paraId="65A8762A">
      <w:pPr>
        <w:widowControl/>
        <w:jc w:val="left"/>
        <w:rPr>
          <w:rFonts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14:paraId="0FF08215">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22"/>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2376"/>
        <w:gridCol w:w="5278"/>
      </w:tblGrid>
      <w:tr w14:paraId="49A79F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vAlign w:val="center"/>
          </w:tcPr>
          <w:p w14:paraId="4B3DFFAB">
            <w:pPr>
              <w:spacing w:line="360" w:lineRule="auto"/>
              <w:jc w:val="center"/>
              <w:rPr>
                <w:rFonts w:ascii="宋体" w:hAnsi="宋体" w:cs="宋体"/>
                <w:b/>
              </w:rPr>
            </w:pPr>
            <w:r>
              <w:rPr>
                <w:rFonts w:hint="eastAsia" w:ascii="宋体" w:hAnsi="宋体" w:cs="宋体"/>
                <w:b/>
              </w:rPr>
              <w:t>项号</w:t>
            </w:r>
          </w:p>
        </w:tc>
        <w:tc>
          <w:tcPr>
            <w:tcW w:w="850" w:type="dxa"/>
            <w:tcBorders>
              <w:top w:val="double" w:color="auto" w:sz="4" w:space="0"/>
              <w:bottom w:val="single" w:color="auto" w:sz="4" w:space="0"/>
            </w:tcBorders>
            <w:shd w:val="clear" w:color="auto" w:fill="C6D9F0"/>
            <w:vAlign w:val="center"/>
          </w:tcPr>
          <w:p w14:paraId="42BDFDD9">
            <w:pPr>
              <w:spacing w:line="360" w:lineRule="auto"/>
              <w:jc w:val="center"/>
              <w:rPr>
                <w:rFonts w:ascii="宋体" w:hAnsi="宋体" w:cs="宋体"/>
                <w:b/>
              </w:rPr>
            </w:pPr>
            <w:r>
              <w:rPr>
                <w:rFonts w:hint="eastAsia" w:ascii="宋体" w:hAnsi="宋体" w:cs="宋体"/>
                <w:b/>
              </w:rPr>
              <w:t>条款号</w:t>
            </w:r>
          </w:p>
        </w:tc>
        <w:tc>
          <w:tcPr>
            <w:tcW w:w="2376" w:type="dxa"/>
            <w:tcBorders>
              <w:top w:val="double" w:color="auto" w:sz="4" w:space="0"/>
              <w:bottom w:val="single" w:color="auto" w:sz="4" w:space="0"/>
            </w:tcBorders>
            <w:shd w:val="clear" w:color="auto" w:fill="C6D9F0"/>
            <w:vAlign w:val="center"/>
          </w:tcPr>
          <w:p w14:paraId="4B507DE3">
            <w:pPr>
              <w:spacing w:line="360" w:lineRule="auto"/>
              <w:jc w:val="center"/>
              <w:rPr>
                <w:rFonts w:ascii="宋体" w:hAnsi="宋体" w:cs="宋体"/>
                <w:b/>
              </w:rPr>
            </w:pPr>
            <w:r>
              <w:rPr>
                <w:rFonts w:hint="eastAsia" w:ascii="宋体" w:hAnsi="宋体" w:cs="宋体"/>
                <w:b/>
              </w:rPr>
              <w:t>内容</w:t>
            </w:r>
          </w:p>
        </w:tc>
        <w:tc>
          <w:tcPr>
            <w:tcW w:w="5278" w:type="dxa"/>
            <w:tcBorders>
              <w:top w:val="double" w:color="auto" w:sz="4" w:space="0"/>
              <w:bottom w:val="single" w:color="auto" w:sz="4" w:space="0"/>
            </w:tcBorders>
            <w:shd w:val="clear" w:color="auto" w:fill="C6D9F0"/>
            <w:vAlign w:val="center"/>
          </w:tcPr>
          <w:p w14:paraId="3400477A">
            <w:pPr>
              <w:spacing w:line="360" w:lineRule="auto"/>
              <w:jc w:val="center"/>
              <w:rPr>
                <w:rFonts w:ascii="宋体" w:hAnsi="宋体" w:cs="宋体"/>
                <w:b/>
              </w:rPr>
            </w:pPr>
            <w:r>
              <w:rPr>
                <w:rFonts w:hint="eastAsia" w:ascii="宋体" w:hAnsi="宋体" w:cs="宋体"/>
                <w:b/>
              </w:rPr>
              <w:t>内容规定</w:t>
            </w:r>
          </w:p>
        </w:tc>
      </w:tr>
      <w:tr w14:paraId="38BB9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14:paraId="0FDD1892">
            <w:pPr>
              <w:spacing w:line="360" w:lineRule="auto"/>
              <w:jc w:val="center"/>
              <w:rPr>
                <w:rFonts w:ascii="宋体" w:hAnsi="宋体" w:cs="宋体"/>
              </w:rPr>
            </w:pPr>
            <w:r>
              <w:rPr>
                <w:rFonts w:ascii="宋体" w:hAnsi="宋体" w:cs="宋体"/>
              </w:rPr>
              <w:t>1</w:t>
            </w:r>
          </w:p>
        </w:tc>
        <w:tc>
          <w:tcPr>
            <w:tcW w:w="850" w:type="dxa"/>
            <w:tcBorders>
              <w:top w:val="single" w:color="auto" w:sz="4" w:space="0"/>
            </w:tcBorders>
            <w:vAlign w:val="center"/>
          </w:tcPr>
          <w:p w14:paraId="3ADFA251">
            <w:pPr>
              <w:spacing w:line="360" w:lineRule="auto"/>
              <w:jc w:val="center"/>
              <w:rPr>
                <w:rFonts w:ascii="宋体" w:hAnsi="宋体" w:cs="宋体"/>
              </w:rPr>
            </w:pPr>
            <w:r>
              <w:rPr>
                <w:rFonts w:ascii="宋体" w:hAnsi="宋体" w:cs="宋体"/>
              </w:rPr>
              <w:t>1.1</w:t>
            </w:r>
          </w:p>
        </w:tc>
        <w:tc>
          <w:tcPr>
            <w:tcW w:w="2376" w:type="dxa"/>
            <w:tcBorders>
              <w:top w:val="single" w:color="auto" w:sz="4" w:space="0"/>
            </w:tcBorders>
            <w:vAlign w:val="center"/>
          </w:tcPr>
          <w:p w14:paraId="2A0CBC95">
            <w:pPr>
              <w:spacing w:line="360" w:lineRule="auto"/>
              <w:jc w:val="center"/>
              <w:rPr>
                <w:rFonts w:ascii="宋体" w:hAnsi="Courier New" w:cs="宋体"/>
              </w:rPr>
            </w:pPr>
            <w:r>
              <w:rPr>
                <w:rFonts w:hint="eastAsia" w:ascii="宋体" w:hAnsi="Courier New" w:cs="宋体"/>
              </w:rPr>
              <w:t>项目名称</w:t>
            </w:r>
          </w:p>
        </w:tc>
        <w:tc>
          <w:tcPr>
            <w:tcW w:w="5278" w:type="dxa"/>
            <w:tcBorders>
              <w:top w:val="single" w:color="auto" w:sz="4" w:space="0"/>
            </w:tcBorders>
            <w:vAlign w:val="center"/>
          </w:tcPr>
          <w:p w14:paraId="39B1F725">
            <w:pPr>
              <w:pStyle w:val="13"/>
              <w:spacing w:line="360" w:lineRule="auto"/>
              <w:rPr>
                <w:rFonts w:hint="eastAsia" w:cs="仿宋" w:asciiTheme="minorEastAsia" w:hAnsiTheme="minorEastAsia" w:eastAsiaTheme="minorEastAsia"/>
                <w:lang w:eastAsia="zh-CN"/>
              </w:rPr>
            </w:pPr>
            <w:r>
              <w:rPr>
                <w:rFonts w:hint="eastAsia" w:cs="仿宋" w:asciiTheme="minorEastAsia" w:hAnsiTheme="minorEastAsia"/>
                <w:lang w:eastAsia="zh-CN"/>
              </w:rPr>
              <w:t>治安支队综合食材配送服务项目（追加）</w:t>
            </w:r>
          </w:p>
        </w:tc>
      </w:tr>
      <w:tr w14:paraId="20548D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9F76125">
            <w:pPr>
              <w:spacing w:line="360" w:lineRule="auto"/>
              <w:jc w:val="center"/>
              <w:rPr>
                <w:rFonts w:ascii="宋体" w:hAnsi="宋体" w:cs="宋体"/>
              </w:rPr>
            </w:pPr>
            <w:r>
              <w:rPr>
                <w:rFonts w:hint="eastAsia" w:ascii="宋体" w:hAnsi="宋体" w:cs="宋体"/>
              </w:rPr>
              <w:t>2</w:t>
            </w:r>
          </w:p>
        </w:tc>
        <w:tc>
          <w:tcPr>
            <w:tcW w:w="850" w:type="dxa"/>
            <w:vAlign w:val="center"/>
          </w:tcPr>
          <w:p w14:paraId="209BD056">
            <w:pPr>
              <w:spacing w:line="360" w:lineRule="auto"/>
              <w:jc w:val="center"/>
              <w:rPr>
                <w:rFonts w:ascii="宋体" w:hAnsi="宋体" w:cs="宋体"/>
              </w:rPr>
            </w:pPr>
            <w:r>
              <w:rPr>
                <w:rFonts w:hint="eastAsia" w:ascii="宋体" w:hAnsi="宋体" w:cs="仿宋"/>
                <w:sz w:val="22"/>
                <w:szCs w:val="24"/>
              </w:rPr>
              <w:t>2.1</w:t>
            </w:r>
          </w:p>
        </w:tc>
        <w:tc>
          <w:tcPr>
            <w:tcW w:w="2376" w:type="dxa"/>
            <w:vAlign w:val="center"/>
          </w:tcPr>
          <w:p w14:paraId="6CD2F141">
            <w:pPr>
              <w:spacing w:line="360" w:lineRule="auto"/>
              <w:jc w:val="center"/>
              <w:rPr>
                <w:rFonts w:ascii="宋体" w:hAnsi="宋体" w:cs="宋体"/>
              </w:rPr>
            </w:pPr>
            <w:r>
              <w:rPr>
                <w:rFonts w:hint="eastAsia" w:ascii="宋体" w:hAnsi="宋体" w:cs="宋体"/>
                <w:bCs/>
              </w:rPr>
              <w:t>采购人</w:t>
            </w:r>
            <w:r>
              <w:rPr>
                <w:rFonts w:hint="eastAsia" w:ascii="宋体" w:hAnsi="宋体" w:cs="宋体"/>
              </w:rPr>
              <w:t>名称</w:t>
            </w:r>
          </w:p>
        </w:tc>
        <w:tc>
          <w:tcPr>
            <w:tcW w:w="5278" w:type="dxa"/>
            <w:vAlign w:val="center"/>
          </w:tcPr>
          <w:p w14:paraId="2C3F81CA">
            <w:pPr>
              <w:rPr>
                <w:rFonts w:hint="eastAsia" w:cs="仿宋" w:asciiTheme="minorEastAsia" w:hAnsiTheme="minorEastAsia" w:eastAsiaTheme="minorEastAsia"/>
                <w:lang w:eastAsia="zh-CN"/>
              </w:rPr>
            </w:pPr>
            <w:r>
              <w:rPr>
                <w:rFonts w:hint="eastAsia" w:cs="仿宋" w:asciiTheme="minorEastAsia" w:hAnsiTheme="minorEastAsia" w:eastAsiaTheme="minorEastAsia"/>
                <w:lang w:eastAsia="zh-CN"/>
              </w:rPr>
              <w:t>深圳市公安局治安管理支队</w:t>
            </w:r>
          </w:p>
        </w:tc>
      </w:tr>
      <w:tr w14:paraId="1F86E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22861ECC">
            <w:pPr>
              <w:spacing w:line="360" w:lineRule="auto"/>
              <w:jc w:val="center"/>
              <w:rPr>
                <w:rFonts w:ascii="宋体" w:hAnsi="宋体" w:cs="宋体"/>
              </w:rPr>
            </w:pPr>
            <w:r>
              <w:rPr>
                <w:rFonts w:hint="eastAsia" w:ascii="宋体" w:hAnsi="宋体" w:cs="宋体"/>
              </w:rPr>
              <w:t>3</w:t>
            </w:r>
          </w:p>
        </w:tc>
        <w:tc>
          <w:tcPr>
            <w:tcW w:w="850" w:type="dxa"/>
            <w:vAlign w:val="center"/>
          </w:tcPr>
          <w:p w14:paraId="46AE8228">
            <w:pPr>
              <w:spacing w:line="360" w:lineRule="auto"/>
              <w:jc w:val="center"/>
              <w:rPr>
                <w:rFonts w:ascii="宋体" w:hAnsi="宋体" w:cs="宋体"/>
              </w:rPr>
            </w:pPr>
            <w:r>
              <w:rPr>
                <w:rFonts w:hint="eastAsia" w:ascii="宋体" w:hAnsi="宋体" w:cs="仿宋"/>
                <w:sz w:val="22"/>
                <w:szCs w:val="24"/>
              </w:rPr>
              <w:t>2.2</w:t>
            </w:r>
          </w:p>
        </w:tc>
        <w:tc>
          <w:tcPr>
            <w:tcW w:w="2376" w:type="dxa"/>
            <w:vAlign w:val="center"/>
          </w:tcPr>
          <w:p w14:paraId="08B900FD">
            <w:pPr>
              <w:spacing w:line="360" w:lineRule="auto"/>
              <w:jc w:val="center"/>
              <w:rPr>
                <w:rFonts w:ascii="宋体" w:hAnsi="宋体" w:cs="宋体"/>
                <w:bCs/>
              </w:rPr>
            </w:pPr>
            <w:r>
              <w:rPr>
                <w:rFonts w:hint="eastAsia" w:ascii="宋体" w:hAnsi="宋体" w:cs="宋体"/>
                <w:bCs/>
              </w:rPr>
              <w:t>采购代理机构</w:t>
            </w:r>
          </w:p>
        </w:tc>
        <w:tc>
          <w:tcPr>
            <w:tcW w:w="5278" w:type="dxa"/>
            <w:vAlign w:val="center"/>
          </w:tcPr>
          <w:p w14:paraId="5294B26B">
            <w:pPr>
              <w:spacing w:line="360" w:lineRule="auto"/>
              <w:rPr>
                <w:rFonts w:ascii="宋体" w:hAnsi="宋体" w:cs="宋体"/>
              </w:rPr>
            </w:pPr>
            <w:r>
              <w:rPr>
                <w:rFonts w:hint="eastAsia" w:ascii="宋体" w:hAnsi="宋体" w:cs="宋体"/>
              </w:rPr>
              <w:t>深圳市中正招标有限公司</w:t>
            </w:r>
          </w:p>
        </w:tc>
      </w:tr>
      <w:tr w14:paraId="59F8C9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5BFA873D">
            <w:pPr>
              <w:spacing w:line="360" w:lineRule="auto"/>
              <w:jc w:val="center"/>
              <w:rPr>
                <w:rFonts w:ascii="宋体" w:hAnsi="宋体" w:cs="宋体"/>
              </w:rPr>
            </w:pPr>
            <w:r>
              <w:rPr>
                <w:rFonts w:hint="eastAsia" w:ascii="宋体" w:hAnsi="宋体" w:cs="宋体"/>
              </w:rPr>
              <w:t>4</w:t>
            </w:r>
          </w:p>
        </w:tc>
        <w:tc>
          <w:tcPr>
            <w:tcW w:w="850" w:type="dxa"/>
            <w:vAlign w:val="center"/>
          </w:tcPr>
          <w:p w14:paraId="18B086AE">
            <w:pPr>
              <w:spacing w:line="360" w:lineRule="auto"/>
              <w:jc w:val="center"/>
              <w:rPr>
                <w:rFonts w:ascii="宋体" w:hAnsi="宋体" w:cs="宋体"/>
              </w:rPr>
            </w:pPr>
            <w:r>
              <w:rPr>
                <w:rFonts w:hint="eastAsia" w:ascii="宋体" w:hAnsi="宋体" w:cs="宋体"/>
              </w:rPr>
              <w:t>3</w:t>
            </w:r>
            <w:r>
              <w:rPr>
                <w:rFonts w:ascii="宋体" w:hAnsi="宋体" w:cs="宋体"/>
              </w:rPr>
              <w:t>.</w:t>
            </w:r>
            <w:r>
              <w:rPr>
                <w:rFonts w:hint="eastAsia" w:ascii="宋体" w:hAnsi="宋体" w:cs="宋体"/>
              </w:rPr>
              <w:t>1</w:t>
            </w:r>
          </w:p>
        </w:tc>
        <w:tc>
          <w:tcPr>
            <w:tcW w:w="2376" w:type="dxa"/>
            <w:vAlign w:val="center"/>
          </w:tcPr>
          <w:p w14:paraId="3051A17B">
            <w:pPr>
              <w:spacing w:line="360" w:lineRule="auto"/>
              <w:jc w:val="center"/>
              <w:rPr>
                <w:rFonts w:ascii="宋体" w:hAnsi="宋体" w:cs="宋体"/>
              </w:rPr>
            </w:pPr>
            <w:r>
              <w:rPr>
                <w:rFonts w:hint="eastAsia" w:ascii="宋体" w:hAnsi="宋体" w:cs="宋体"/>
              </w:rPr>
              <w:t>资金来源</w:t>
            </w:r>
          </w:p>
        </w:tc>
        <w:tc>
          <w:tcPr>
            <w:tcW w:w="5278" w:type="dxa"/>
            <w:vAlign w:val="center"/>
          </w:tcPr>
          <w:p w14:paraId="4C4032EC">
            <w:pPr>
              <w:spacing w:line="360" w:lineRule="auto"/>
              <w:rPr>
                <w:rFonts w:ascii="宋体" w:hAnsi="宋体" w:cs="宋体"/>
              </w:rPr>
            </w:pPr>
            <w:r>
              <w:rPr>
                <w:rFonts w:hint="eastAsia" w:ascii="宋体" w:hAnsi="宋体" w:cs="宋体"/>
              </w:rPr>
              <w:t>财政</w:t>
            </w:r>
          </w:p>
        </w:tc>
      </w:tr>
      <w:tr w14:paraId="022DDB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3DEC25CF">
            <w:pPr>
              <w:spacing w:line="360" w:lineRule="auto"/>
              <w:jc w:val="center"/>
              <w:rPr>
                <w:rFonts w:ascii="宋体" w:hAnsi="宋体" w:cs="宋体"/>
              </w:rPr>
            </w:pPr>
            <w:r>
              <w:rPr>
                <w:rFonts w:hint="eastAsia" w:ascii="宋体" w:hAnsi="宋体" w:cs="宋体"/>
              </w:rPr>
              <w:t>5</w:t>
            </w:r>
          </w:p>
        </w:tc>
        <w:tc>
          <w:tcPr>
            <w:tcW w:w="850" w:type="dxa"/>
            <w:vAlign w:val="center"/>
          </w:tcPr>
          <w:p w14:paraId="490F7EA1">
            <w:pPr>
              <w:spacing w:line="360" w:lineRule="auto"/>
              <w:jc w:val="center"/>
              <w:rPr>
                <w:rFonts w:ascii="宋体" w:hAnsi="宋体" w:cs="宋体"/>
              </w:rPr>
            </w:pPr>
            <w:r>
              <w:rPr>
                <w:rFonts w:hint="eastAsia" w:ascii="宋体" w:hAnsi="宋体" w:cs="宋体"/>
              </w:rPr>
              <w:t>4.7</w:t>
            </w:r>
          </w:p>
        </w:tc>
        <w:tc>
          <w:tcPr>
            <w:tcW w:w="2376" w:type="dxa"/>
            <w:vAlign w:val="center"/>
          </w:tcPr>
          <w:p w14:paraId="24369015">
            <w:pPr>
              <w:spacing w:line="360" w:lineRule="auto"/>
              <w:jc w:val="center"/>
              <w:rPr>
                <w:rFonts w:ascii="宋体" w:hAnsi="宋体" w:cs="宋体"/>
              </w:rPr>
            </w:pPr>
            <w:r>
              <w:rPr>
                <w:rFonts w:hint="eastAsia" w:ascii="宋体" w:hAnsi="宋体" w:cs="宋体"/>
              </w:rPr>
              <w:t>供应商资格要求</w:t>
            </w:r>
          </w:p>
        </w:tc>
        <w:tc>
          <w:tcPr>
            <w:tcW w:w="5278" w:type="dxa"/>
            <w:vAlign w:val="center"/>
          </w:tcPr>
          <w:p w14:paraId="6541DF3D">
            <w:pPr>
              <w:spacing w:line="300" w:lineRule="auto"/>
              <w:rPr>
                <w:rFonts w:ascii="宋体" w:hAnsi="宋体"/>
                <w:szCs w:val="21"/>
              </w:rPr>
            </w:pPr>
            <w:r>
              <w:rPr>
                <w:rFonts w:hint="eastAsia" w:ascii="宋体" w:hAnsi="宋体"/>
                <w:szCs w:val="21"/>
              </w:rPr>
              <w:t>详见《采购公告》“申请人的资格要求”</w:t>
            </w:r>
          </w:p>
          <w:p w14:paraId="3BD5E432">
            <w:pPr>
              <w:spacing w:line="360" w:lineRule="auto"/>
              <w:ind w:left="379" w:hanging="379" w:hangingChars="180"/>
              <w:rPr>
                <w:rFonts w:ascii="宋体" w:hAnsi="宋体" w:cs="宋体"/>
                <w:szCs w:val="21"/>
              </w:rPr>
            </w:pPr>
            <w:r>
              <w:rPr>
                <w:rFonts w:hint="eastAsia" w:ascii="Times New Roman" w:hAnsi="宋体" w:cs="宋体"/>
                <w:b/>
                <w:bCs/>
              </w:rPr>
              <w:t>（资格证明文件详见第三部分 投标文件格式）</w:t>
            </w:r>
          </w:p>
        </w:tc>
      </w:tr>
      <w:tr w14:paraId="77815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512AED4">
            <w:pPr>
              <w:spacing w:line="360" w:lineRule="auto"/>
              <w:jc w:val="center"/>
              <w:rPr>
                <w:rFonts w:ascii="宋体" w:hAnsi="宋体" w:cs="宋体"/>
              </w:rPr>
            </w:pPr>
            <w:r>
              <w:rPr>
                <w:rFonts w:hint="eastAsia" w:ascii="宋体" w:hAnsi="宋体" w:cs="宋体"/>
              </w:rPr>
              <w:t>6</w:t>
            </w:r>
          </w:p>
        </w:tc>
        <w:tc>
          <w:tcPr>
            <w:tcW w:w="850" w:type="dxa"/>
            <w:vAlign w:val="center"/>
          </w:tcPr>
          <w:p w14:paraId="4A1924D5">
            <w:pPr>
              <w:spacing w:line="360" w:lineRule="auto"/>
              <w:jc w:val="center"/>
              <w:rPr>
                <w:rFonts w:ascii="宋体" w:hAnsi="宋体" w:cs="宋体"/>
              </w:rPr>
            </w:pPr>
            <w:r>
              <w:rPr>
                <w:rFonts w:hint="eastAsia" w:ascii="宋体" w:hAnsi="宋体" w:cs="宋体"/>
              </w:rPr>
              <w:t>6.1</w:t>
            </w:r>
          </w:p>
        </w:tc>
        <w:tc>
          <w:tcPr>
            <w:tcW w:w="2376" w:type="dxa"/>
            <w:vAlign w:val="center"/>
          </w:tcPr>
          <w:p w14:paraId="2CDD7665">
            <w:pPr>
              <w:spacing w:line="360" w:lineRule="auto"/>
              <w:jc w:val="center"/>
              <w:rPr>
                <w:rFonts w:ascii="宋体" w:hAnsi="宋体" w:cs="宋体"/>
              </w:rPr>
            </w:pPr>
            <w:r>
              <w:rPr>
                <w:rFonts w:hint="eastAsia" w:ascii="宋体" w:hAnsi="宋体" w:cs="宋体"/>
              </w:rPr>
              <w:t>踏勘现场</w:t>
            </w:r>
          </w:p>
        </w:tc>
        <w:tc>
          <w:tcPr>
            <w:tcW w:w="5278" w:type="dxa"/>
            <w:vAlign w:val="center"/>
          </w:tcPr>
          <w:p w14:paraId="150AB934">
            <w:pPr>
              <w:spacing w:line="360" w:lineRule="auto"/>
              <w:rPr>
                <w:rFonts w:ascii="宋体" w:hAnsi="宋体" w:cs="宋体"/>
              </w:rPr>
            </w:pPr>
            <w:r>
              <w:rPr>
                <w:rFonts w:hint="eastAsia" w:ascii="宋体" w:hAnsi="宋体" w:cs="宋体"/>
                <w:bCs/>
              </w:rPr>
              <w:t>无</w:t>
            </w:r>
          </w:p>
        </w:tc>
      </w:tr>
      <w:tr w14:paraId="35B72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5709791E">
            <w:pPr>
              <w:spacing w:line="360" w:lineRule="auto"/>
              <w:jc w:val="center"/>
              <w:rPr>
                <w:rFonts w:ascii="宋体" w:hAnsi="宋体" w:cs="宋体"/>
              </w:rPr>
            </w:pPr>
            <w:r>
              <w:rPr>
                <w:rFonts w:hint="eastAsia" w:ascii="宋体" w:hAnsi="宋体" w:cs="宋体"/>
              </w:rPr>
              <w:t>7</w:t>
            </w:r>
          </w:p>
        </w:tc>
        <w:tc>
          <w:tcPr>
            <w:tcW w:w="850" w:type="dxa"/>
            <w:vAlign w:val="center"/>
          </w:tcPr>
          <w:p w14:paraId="5B4E897D">
            <w:pPr>
              <w:tabs>
                <w:tab w:val="left" w:pos="915"/>
              </w:tabs>
              <w:spacing w:line="276" w:lineRule="auto"/>
              <w:jc w:val="center"/>
              <w:rPr>
                <w:rFonts w:ascii="宋体" w:hAnsi="宋体"/>
                <w:szCs w:val="21"/>
              </w:rPr>
            </w:pPr>
            <w:r>
              <w:rPr>
                <w:rFonts w:hint="eastAsia" w:ascii="宋体" w:hAnsi="宋体" w:cs="仿宋"/>
                <w:sz w:val="22"/>
                <w:szCs w:val="24"/>
              </w:rPr>
              <w:t>14.1</w:t>
            </w:r>
          </w:p>
        </w:tc>
        <w:tc>
          <w:tcPr>
            <w:tcW w:w="2376" w:type="dxa"/>
            <w:vAlign w:val="center"/>
          </w:tcPr>
          <w:p w14:paraId="37F55080">
            <w:pPr>
              <w:tabs>
                <w:tab w:val="left" w:pos="915"/>
              </w:tabs>
              <w:spacing w:line="276" w:lineRule="auto"/>
              <w:jc w:val="center"/>
              <w:rPr>
                <w:rFonts w:ascii="宋体" w:hAnsi="宋体"/>
                <w:szCs w:val="21"/>
              </w:rPr>
            </w:pPr>
            <w:r>
              <w:rPr>
                <w:rFonts w:hint="eastAsia" w:ascii="宋体" w:hAnsi="宋体"/>
                <w:szCs w:val="21"/>
              </w:rPr>
              <w:t>投标有效期</w:t>
            </w:r>
          </w:p>
        </w:tc>
        <w:tc>
          <w:tcPr>
            <w:tcW w:w="5278" w:type="dxa"/>
            <w:vAlign w:val="center"/>
          </w:tcPr>
          <w:p w14:paraId="10DF9F64">
            <w:pPr>
              <w:tabs>
                <w:tab w:val="left" w:pos="915"/>
              </w:tabs>
              <w:spacing w:line="276" w:lineRule="auto"/>
              <w:rPr>
                <w:rFonts w:ascii="宋体" w:hAnsi="宋体"/>
                <w:szCs w:val="21"/>
              </w:rPr>
            </w:pPr>
            <w:r>
              <w:rPr>
                <w:rFonts w:hint="eastAsia" w:ascii="宋体" w:hAnsi="宋体"/>
                <w:szCs w:val="21"/>
                <w:u w:val="single"/>
              </w:rPr>
              <w:t>90</w:t>
            </w:r>
            <w:r>
              <w:rPr>
                <w:rFonts w:hint="eastAsia" w:ascii="宋体" w:hAnsi="宋体"/>
                <w:szCs w:val="21"/>
              </w:rPr>
              <w:t>日历天（从投标截止之日算起</w:t>
            </w:r>
            <w:r>
              <w:rPr>
                <w:rFonts w:ascii="宋体" w:hAnsi="宋体"/>
                <w:szCs w:val="21"/>
              </w:rPr>
              <w:t>）</w:t>
            </w:r>
          </w:p>
        </w:tc>
      </w:tr>
      <w:tr w14:paraId="062D4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3CC62C8">
            <w:pPr>
              <w:spacing w:line="360" w:lineRule="auto"/>
              <w:jc w:val="center"/>
              <w:rPr>
                <w:rFonts w:ascii="宋体" w:hAnsi="宋体" w:cs="宋体"/>
              </w:rPr>
            </w:pPr>
            <w:r>
              <w:rPr>
                <w:rFonts w:hint="eastAsia" w:ascii="宋体" w:hAnsi="宋体" w:cs="宋体"/>
              </w:rPr>
              <w:t>8</w:t>
            </w:r>
          </w:p>
        </w:tc>
        <w:tc>
          <w:tcPr>
            <w:tcW w:w="850" w:type="dxa"/>
            <w:vAlign w:val="center"/>
          </w:tcPr>
          <w:p w14:paraId="7D90D705">
            <w:pPr>
              <w:tabs>
                <w:tab w:val="left" w:pos="915"/>
              </w:tabs>
              <w:spacing w:line="276" w:lineRule="auto"/>
              <w:jc w:val="center"/>
              <w:rPr>
                <w:rFonts w:ascii="宋体" w:hAnsi="宋体"/>
                <w:szCs w:val="21"/>
              </w:rPr>
            </w:pPr>
            <w:r>
              <w:rPr>
                <w:rFonts w:hint="eastAsia" w:ascii="宋体" w:hAnsi="宋体" w:cs="仿宋"/>
                <w:sz w:val="22"/>
                <w:szCs w:val="24"/>
              </w:rPr>
              <w:t>15.2</w:t>
            </w:r>
          </w:p>
        </w:tc>
        <w:tc>
          <w:tcPr>
            <w:tcW w:w="2376" w:type="dxa"/>
            <w:vAlign w:val="center"/>
          </w:tcPr>
          <w:p w14:paraId="3FB80F31">
            <w:pPr>
              <w:tabs>
                <w:tab w:val="left" w:pos="915"/>
              </w:tabs>
              <w:spacing w:line="276" w:lineRule="auto"/>
              <w:jc w:val="center"/>
              <w:rPr>
                <w:rFonts w:ascii="宋体" w:hAnsi="宋体"/>
                <w:szCs w:val="21"/>
              </w:rPr>
            </w:pPr>
            <w:r>
              <w:rPr>
                <w:rFonts w:hint="eastAsia" w:ascii="宋体" w:hAnsi="宋体"/>
                <w:szCs w:val="21"/>
              </w:rPr>
              <w:t>项目保证金</w:t>
            </w:r>
          </w:p>
        </w:tc>
        <w:tc>
          <w:tcPr>
            <w:tcW w:w="5278" w:type="dxa"/>
            <w:vAlign w:val="center"/>
          </w:tcPr>
          <w:p w14:paraId="6DB88E2A">
            <w:pPr>
              <w:tabs>
                <w:tab w:val="left" w:pos="915"/>
              </w:tabs>
              <w:spacing w:line="276" w:lineRule="auto"/>
              <w:rPr>
                <w:rFonts w:ascii="宋体" w:hAnsi="宋体"/>
                <w:szCs w:val="21"/>
              </w:rPr>
            </w:pPr>
            <w:r>
              <w:rPr>
                <w:rFonts w:hint="eastAsia" w:cs="仿宋" w:asciiTheme="minorEastAsia" w:hAnsiTheme="minorEastAsia"/>
              </w:rPr>
              <w:t>本项目不收取项目保证金</w:t>
            </w:r>
          </w:p>
        </w:tc>
      </w:tr>
      <w:tr w14:paraId="7859D1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EC6AFA1">
            <w:pPr>
              <w:spacing w:line="360" w:lineRule="auto"/>
              <w:jc w:val="center"/>
              <w:rPr>
                <w:rFonts w:hint="eastAsia" w:ascii="宋体" w:hAnsi="宋体" w:eastAsia="宋体" w:cs="宋体"/>
                <w:lang w:val="en-US" w:eastAsia="zh-CN"/>
              </w:rPr>
            </w:pPr>
            <w:r>
              <w:rPr>
                <w:rFonts w:hint="eastAsia" w:ascii="宋体" w:hAnsi="宋体" w:cs="宋体"/>
                <w:lang w:val="en-US" w:eastAsia="zh-CN"/>
              </w:rPr>
              <w:t>9</w:t>
            </w:r>
          </w:p>
        </w:tc>
        <w:tc>
          <w:tcPr>
            <w:tcW w:w="850" w:type="dxa"/>
            <w:vAlign w:val="center"/>
          </w:tcPr>
          <w:p w14:paraId="158CBB90">
            <w:pPr>
              <w:tabs>
                <w:tab w:val="left" w:pos="915"/>
              </w:tabs>
              <w:spacing w:line="276" w:lineRule="auto"/>
              <w:jc w:val="center"/>
              <w:rPr>
                <w:rFonts w:hint="default" w:ascii="宋体" w:hAnsi="宋体" w:eastAsia="宋体" w:cs="仿宋"/>
                <w:sz w:val="22"/>
                <w:szCs w:val="24"/>
                <w:lang w:val="en-US" w:eastAsia="zh-CN"/>
              </w:rPr>
            </w:pPr>
            <w:r>
              <w:rPr>
                <w:rFonts w:hint="eastAsia" w:ascii="宋体" w:hAnsi="宋体" w:cs="仿宋"/>
                <w:sz w:val="22"/>
                <w:szCs w:val="24"/>
                <w:lang w:val="en-US" w:eastAsia="zh-CN"/>
              </w:rPr>
              <w:t>16.1</w:t>
            </w:r>
          </w:p>
        </w:tc>
        <w:tc>
          <w:tcPr>
            <w:tcW w:w="2376" w:type="dxa"/>
            <w:vAlign w:val="center"/>
          </w:tcPr>
          <w:p w14:paraId="2BDC067E">
            <w:pPr>
              <w:tabs>
                <w:tab w:val="left" w:pos="915"/>
              </w:tabs>
              <w:spacing w:line="276" w:lineRule="auto"/>
              <w:jc w:val="center"/>
              <w:rPr>
                <w:rFonts w:hint="eastAsia" w:ascii="宋体" w:hAnsi="宋体"/>
                <w:szCs w:val="21"/>
              </w:rPr>
            </w:pPr>
            <w:r>
              <w:rPr>
                <w:rFonts w:hint="eastAsia" w:ascii="宋体" w:hAnsi="宋体"/>
                <w:szCs w:val="21"/>
              </w:rPr>
              <w:t>投标预备会（答疑会）</w:t>
            </w:r>
          </w:p>
        </w:tc>
        <w:tc>
          <w:tcPr>
            <w:tcW w:w="5278" w:type="dxa"/>
            <w:vAlign w:val="center"/>
          </w:tcPr>
          <w:p w14:paraId="6937C0BF">
            <w:pPr>
              <w:tabs>
                <w:tab w:val="left" w:pos="915"/>
              </w:tabs>
              <w:spacing w:line="276" w:lineRule="auto"/>
              <w:rPr>
                <w:rFonts w:hint="eastAsia" w:eastAsia="宋体" w:cs="仿宋" w:asciiTheme="minorEastAsia" w:hAnsiTheme="minorEastAsia"/>
                <w:lang w:eastAsia="zh-CN"/>
              </w:rPr>
            </w:pPr>
            <w:r>
              <w:rPr>
                <w:rFonts w:hint="eastAsia" w:cs="仿宋" w:asciiTheme="minorEastAsia" w:hAnsiTheme="minorEastAsia"/>
                <w:lang w:eastAsia="zh-CN"/>
              </w:rPr>
              <w:t>无</w:t>
            </w:r>
          </w:p>
        </w:tc>
      </w:tr>
      <w:tr w14:paraId="3EF1D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66" w:type="dxa"/>
            <w:vAlign w:val="center"/>
          </w:tcPr>
          <w:p w14:paraId="52DC2BFE">
            <w:pPr>
              <w:spacing w:line="36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850" w:type="dxa"/>
            <w:vAlign w:val="center"/>
          </w:tcPr>
          <w:p w14:paraId="4BFDB342">
            <w:pPr>
              <w:spacing w:line="360" w:lineRule="auto"/>
              <w:jc w:val="center"/>
              <w:rPr>
                <w:rFonts w:ascii="宋体" w:hAnsi="宋体" w:cs="宋体"/>
              </w:rPr>
            </w:pPr>
            <w:r>
              <w:rPr>
                <w:rFonts w:ascii="宋体" w:hAnsi="宋体" w:cs="宋体"/>
              </w:rPr>
              <w:t>1</w:t>
            </w:r>
            <w:r>
              <w:rPr>
                <w:rFonts w:hint="eastAsia" w:ascii="宋体" w:hAnsi="宋体" w:cs="宋体"/>
              </w:rPr>
              <w:t>7</w:t>
            </w:r>
            <w:r>
              <w:rPr>
                <w:rFonts w:ascii="宋体" w:hAnsi="宋体" w:cs="宋体"/>
              </w:rPr>
              <w:t>.1</w:t>
            </w:r>
          </w:p>
        </w:tc>
        <w:tc>
          <w:tcPr>
            <w:tcW w:w="2376" w:type="dxa"/>
            <w:vAlign w:val="center"/>
          </w:tcPr>
          <w:p w14:paraId="05691272">
            <w:pPr>
              <w:spacing w:line="360" w:lineRule="auto"/>
              <w:jc w:val="center"/>
              <w:rPr>
                <w:rFonts w:ascii="宋体" w:hAnsi="宋体" w:cs="宋体"/>
              </w:rPr>
            </w:pPr>
            <w:r>
              <w:rPr>
                <w:rFonts w:hint="eastAsia" w:ascii="宋体" w:hAnsi="宋体" w:cs="宋体"/>
                <w:bCs/>
              </w:rPr>
              <w:t>投标文件</w:t>
            </w:r>
            <w:r>
              <w:rPr>
                <w:rFonts w:hint="eastAsia" w:ascii="宋体" w:hAnsi="宋体" w:cs="宋体"/>
              </w:rPr>
              <w:t>份数</w:t>
            </w:r>
          </w:p>
        </w:tc>
        <w:tc>
          <w:tcPr>
            <w:tcW w:w="5278" w:type="dxa"/>
            <w:vAlign w:val="center"/>
          </w:tcPr>
          <w:p w14:paraId="6CFF7D8D">
            <w:pPr>
              <w:rPr>
                <w:rFonts w:ascii="宋体" w:hAnsi="宋体" w:cs="宋体"/>
              </w:rPr>
            </w:pPr>
            <w:r>
              <w:rPr>
                <w:rFonts w:hint="eastAsia" w:ascii="宋体" w:hAnsi="宋体" w:cs="宋体"/>
              </w:rPr>
              <w:t>正本2份，副本4份，</w:t>
            </w:r>
            <w:r>
              <w:rPr>
                <w:rFonts w:hint="eastAsia" w:ascii="宋体" w:hAnsi="宋体" w:cs="仿宋"/>
              </w:rPr>
              <w:t>电子备份光盘（或U盘）1份（含投标文件正本盖章扫描件）。</w:t>
            </w:r>
            <w:r>
              <w:rPr>
                <w:rFonts w:hint="eastAsia" w:ascii="宋体" w:hAnsi="宋体" w:cs="宋体"/>
                <w:snapToGrid w:val="0"/>
                <w:kern w:val="0"/>
              </w:rPr>
              <w:t>投标文件正本和副本必须标注页码并装订成册。</w:t>
            </w:r>
          </w:p>
        </w:tc>
      </w:tr>
      <w:tr w14:paraId="49D6F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0A84B39C">
            <w:pPr>
              <w:spacing w:line="360" w:lineRule="auto"/>
              <w:jc w:val="center"/>
              <w:rPr>
                <w:rFonts w:hint="default" w:ascii="宋体" w:hAnsi="宋体" w:eastAsia="宋体" w:cs="宋体"/>
                <w:lang w:val="en-US" w:eastAsia="zh-CN"/>
              </w:rPr>
            </w:pPr>
            <w:r>
              <w:rPr>
                <w:rFonts w:hint="eastAsia" w:ascii="宋体" w:hAnsi="宋体" w:cs="宋体"/>
                <w:lang w:val="en-US" w:eastAsia="zh-CN"/>
              </w:rPr>
              <w:t>11</w:t>
            </w:r>
          </w:p>
        </w:tc>
        <w:tc>
          <w:tcPr>
            <w:tcW w:w="850" w:type="dxa"/>
            <w:vAlign w:val="center"/>
          </w:tcPr>
          <w:p w14:paraId="4C7ED979">
            <w:pPr>
              <w:spacing w:line="360" w:lineRule="auto"/>
              <w:jc w:val="center"/>
              <w:rPr>
                <w:rFonts w:ascii="宋体" w:hAnsi="宋体" w:cs="宋体"/>
              </w:rPr>
            </w:pPr>
            <w:r>
              <w:rPr>
                <w:rFonts w:hint="eastAsia" w:ascii="宋体" w:hAnsi="宋体" w:cs="仿宋"/>
                <w:sz w:val="22"/>
                <w:szCs w:val="24"/>
              </w:rPr>
              <w:t>19.2</w:t>
            </w:r>
          </w:p>
        </w:tc>
        <w:tc>
          <w:tcPr>
            <w:tcW w:w="2376" w:type="dxa"/>
            <w:vAlign w:val="center"/>
          </w:tcPr>
          <w:p w14:paraId="65DD3650">
            <w:pPr>
              <w:spacing w:line="360" w:lineRule="auto"/>
              <w:jc w:val="center"/>
              <w:rPr>
                <w:rFonts w:ascii="宋体" w:hAnsi="宋体" w:cs="宋体"/>
              </w:rPr>
            </w:pPr>
            <w:r>
              <w:rPr>
                <w:rFonts w:hint="eastAsia" w:ascii="宋体" w:hAnsi="宋体" w:cs="宋体"/>
              </w:rPr>
              <w:t>开标</w:t>
            </w:r>
          </w:p>
        </w:tc>
        <w:tc>
          <w:tcPr>
            <w:tcW w:w="5278" w:type="dxa"/>
            <w:vAlign w:val="center"/>
          </w:tcPr>
          <w:p w14:paraId="5C143AE9">
            <w:pPr>
              <w:spacing w:line="360" w:lineRule="auto"/>
              <w:rPr>
                <w:rFonts w:ascii="宋体" w:hAnsi="宋体" w:cs="宋体"/>
                <w:szCs w:val="21"/>
              </w:rPr>
            </w:pPr>
            <w:r>
              <w:rPr>
                <w:rFonts w:hint="eastAsia" w:ascii="宋体" w:hAnsi="宋体" w:cs="宋体"/>
                <w:szCs w:val="21"/>
              </w:rPr>
              <w:t>详见《采购公告》</w:t>
            </w:r>
          </w:p>
        </w:tc>
      </w:tr>
      <w:tr w14:paraId="12774A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323EC5C">
            <w:pPr>
              <w:spacing w:line="36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850" w:type="dxa"/>
            <w:vAlign w:val="center"/>
          </w:tcPr>
          <w:p w14:paraId="58EF6A6C">
            <w:pPr>
              <w:spacing w:line="360" w:lineRule="auto"/>
              <w:jc w:val="center"/>
              <w:rPr>
                <w:rFonts w:ascii="宋体" w:hAnsi="宋体" w:cs="宋体"/>
              </w:rPr>
            </w:pPr>
            <w:r>
              <w:rPr>
                <w:rFonts w:hint="eastAsia" w:ascii="宋体" w:hAnsi="宋体" w:cs="仿宋"/>
                <w:sz w:val="22"/>
                <w:szCs w:val="24"/>
              </w:rPr>
              <w:t>19.2</w:t>
            </w:r>
          </w:p>
        </w:tc>
        <w:tc>
          <w:tcPr>
            <w:tcW w:w="2376" w:type="dxa"/>
            <w:vAlign w:val="center"/>
          </w:tcPr>
          <w:p w14:paraId="10A5D726">
            <w:pPr>
              <w:spacing w:line="360" w:lineRule="auto"/>
              <w:jc w:val="center"/>
              <w:rPr>
                <w:rFonts w:hAnsi="宋体"/>
              </w:rPr>
            </w:pPr>
            <w:r>
              <w:rPr>
                <w:rFonts w:hint="eastAsia" w:ascii="宋体" w:hAnsi="宋体" w:cs="仿宋"/>
                <w:bCs/>
              </w:rPr>
              <w:t>提交投标文件</w:t>
            </w:r>
            <w:r>
              <w:rPr>
                <w:rFonts w:hint="eastAsia" w:hAnsi="宋体" w:cs="仿宋"/>
              </w:rPr>
              <w:t>截止时间</w:t>
            </w:r>
          </w:p>
        </w:tc>
        <w:tc>
          <w:tcPr>
            <w:tcW w:w="5278" w:type="dxa"/>
            <w:vAlign w:val="center"/>
          </w:tcPr>
          <w:p w14:paraId="4DCFBB69">
            <w:pPr>
              <w:spacing w:line="360" w:lineRule="auto"/>
              <w:rPr>
                <w:rFonts w:ascii="宋体" w:hAnsi="宋体" w:cs="宋体"/>
                <w:b/>
              </w:rPr>
            </w:pPr>
            <w:r>
              <w:rPr>
                <w:rFonts w:hint="eastAsia" w:ascii="宋体" w:hAnsi="宋体" w:cs="宋体"/>
                <w:szCs w:val="21"/>
              </w:rPr>
              <w:t>详见《采购公告》</w:t>
            </w:r>
          </w:p>
        </w:tc>
      </w:tr>
      <w:tr w14:paraId="3A9D1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DDE5BA8">
            <w:pPr>
              <w:spacing w:line="36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850" w:type="dxa"/>
            <w:vAlign w:val="center"/>
          </w:tcPr>
          <w:p w14:paraId="2E057A31">
            <w:pPr>
              <w:spacing w:line="360" w:lineRule="auto"/>
              <w:jc w:val="center"/>
              <w:rPr>
                <w:rFonts w:ascii="宋体" w:hAnsi="宋体" w:cs="宋体"/>
              </w:rPr>
            </w:pPr>
            <w:r>
              <w:rPr>
                <w:rFonts w:hint="eastAsia" w:ascii="宋体" w:hAnsi="宋体" w:cs="仿宋"/>
                <w:sz w:val="22"/>
                <w:szCs w:val="24"/>
              </w:rPr>
              <w:t>26.5</w:t>
            </w:r>
          </w:p>
        </w:tc>
        <w:tc>
          <w:tcPr>
            <w:tcW w:w="2376" w:type="dxa"/>
            <w:vAlign w:val="center"/>
          </w:tcPr>
          <w:p w14:paraId="6B0279E8">
            <w:pPr>
              <w:spacing w:line="360" w:lineRule="auto"/>
              <w:jc w:val="center"/>
              <w:rPr>
                <w:rFonts w:ascii="宋体" w:hAnsi="宋体" w:cs="宋体"/>
              </w:rPr>
            </w:pPr>
            <w:r>
              <w:rPr>
                <w:rFonts w:hint="eastAsia" w:ascii="宋体" w:hAnsi="宋体" w:cs="仿宋"/>
                <w:sz w:val="22"/>
                <w:szCs w:val="24"/>
              </w:rPr>
              <w:t>评审方法</w:t>
            </w:r>
          </w:p>
        </w:tc>
        <w:tc>
          <w:tcPr>
            <w:tcW w:w="5278" w:type="dxa"/>
            <w:vAlign w:val="center"/>
          </w:tcPr>
          <w:p w14:paraId="011BD492">
            <w:pPr>
              <w:spacing w:line="360" w:lineRule="auto"/>
              <w:rPr>
                <w:rFonts w:ascii="宋体" w:hAnsi="宋体" w:cs="宋体"/>
              </w:rPr>
            </w:pPr>
            <w:r>
              <w:rPr>
                <w:rFonts w:hint="eastAsia" w:ascii="宋体" w:hAnsi="宋体" w:cs="宋体"/>
              </w:rPr>
              <w:t>综合评分法</w:t>
            </w:r>
          </w:p>
        </w:tc>
      </w:tr>
      <w:tr w14:paraId="287860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77B71309">
            <w:pPr>
              <w:spacing w:line="36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850" w:type="dxa"/>
            <w:vAlign w:val="center"/>
          </w:tcPr>
          <w:p w14:paraId="36374297">
            <w:pPr>
              <w:spacing w:line="360" w:lineRule="auto"/>
              <w:jc w:val="center"/>
              <w:rPr>
                <w:rFonts w:ascii="宋体" w:hAnsi="宋体" w:cs="宋体"/>
              </w:rPr>
            </w:pPr>
            <w:r>
              <w:rPr>
                <w:rFonts w:hint="eastAsia" w:ascii="宋体" w:hAnsi="宋体" w:cs="仿宋"/>
                <w:sz w:val="22"/>
                <w:szCs w:val="24"/>
              </w:rPr>
              <w:t>33.1</w:t>
            </w:r>
          </w:p>
        </w:tc>
        <w:tc>
          <w:tcPr>
            <w:tcW w:w="2376" w:type="dxa"/>
            <w:vAlign w:val="center"/>
          </w:tcPr>
          <w:p w14:paraId="6E49650B">
            <w:pPr>
              <w:spacing w:line="340" w:lineRule="exact"/>
              <w:jc w:val="center"/>
              <w:rPr>
                <w:rFonts w:ascii="宋体" w:hAnsi="宋体" w:cs="宋体"/>
              </w:rPr>
            </w:pPr>
            <w:r>
              <w:rPr>
                <w:rFonts w:hint="eastAsia" w:ascii="宋体" w:hAnsi="宋体" w:cs="宋体"/>
              </w:rPr>
              <w:t>采购代理服务费</w:t>
            </w:r>
          </w:p>
        </w:tc>
        <w:tc>
          <w:tcPr>
            <w:tcW w:w="5278" w:type="dxa"/>
            <w:vAlign w:val="center"/>
          </w:tcPr>
          <w:p w14:paraId="0B13A90C">
            <w:pPr>
              <w:pStyle w:val="13"/>
              <w:spacing w:line="340" w:lineRule="exact"/>
              <w:rPr>
                <w:rFonts w:cs="仿宋" w:asciiTheme="minorEastAsia" w:hAnsiTheme="minorEastAsia"/>
              </w:rPr>
            </w:pPr>
            <w:r>
              <w:rPr>
                <w:rFonts w:hint="eastAsia" w:cs="仿宋" w:asciiTheme="minorEastAsia" w:hAnsiTheme="minorEastAsia"/>
              </w:rPr>
              <w:t>采购代理机构按中标金额的一定比例向中标供应商收取，最低收取人民币5000元。</w:t>
            </w:r>
          </w:p>
          <w:p w14:paraId="44002E3D">
            <w:pPr>
              <w:pStyle w:val="13"/>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14:paraId="51F15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B7FB1B1">
            <w:pPr>
              <w:spacing w:line="360" w:lineRule="auto"/>
              <w:jc w:val="center"/>
              <w:rPr>
                <w:rFonts w:hint="default" w:ascii="宋体" w:hAnsi="宋体" w:eastAsia="宋体" w:cs="宋体"/>
                <w:lang w:val="en-US" w:eastAsia="zh-CN"/>
              </w:rPr>
            </w:pPr>
            <w:r>
              <w:rPr>
                <w:rFonts w:hint="eastAsia" w:ascii="宋体" w:hAnsi="宋体" w:cs="宋体"/>
                <w:lang w:val="en-US" w:eastAsia="zh-CN"/>
              </w:rPr>
              <w:t>15</w:t>
            </w:r>
          </w:p>
        </w:tc>
        <w:tc>
          <w:tcPr>
            <w:tcW w:w="850" w:type="dxa"/>
            <w:vAlign w:val="center"/>
          </w:tcPr>
          <w:p w14:paraId="3466E35F">
            <w:pPr>
              <w:spacing w:line="360" w:lineRule="auto"/>
              <w:jc w:val="center"/>
              <w:rPr>
                <w:rFonts w:ascii="宋体" w:hAnsi="宋体" w:cs="仿宋"/>
                <w:sz w:val="22"/>
                <w:szCs w:val="24"/>
              </w:rPr>
            </w:pPr>
            <w:r>
              <w:rPr>
                <w:rFonts w:hint="eastAsia" w:cs="仿宋" w:asciiTheme="minorEastAsia" w:hAnsiTheme="minorEastAsia"/>
              </w:rPr>
              <w:t>34</w:t>
            </w:r>
          </w:p>
        </w:tc>
        <w:tc>
          <w:tcPr>
            <w:tcW w:w="2376" w:type="dxa"/>
            <w:vAlign w:val="center"/>
          </w:tcPr>
          <w:p w14:paraId="22A89493">
            <w:pPr>
              <w:pStyle w:val="13"/>
              <w:spacing w:line="360" w:lineRule="auto"/>
              <w:jc w:val="center"/>
              <w:rPr>
                <w:rFonts w:hAnsi="宋体" w:cs="宋体"/>
              </w:rPr>
            </w:pPr>
            <w:r>
              <w:rPr>
                <w:rFonts w:hint="eastAsia" w:cs="仿宋" w:asciiTheme="minorEastAsia" w:hAnsiTheme="minorEastAsia"/>
              </w:rPr>
              <w:t>本项目公开征集失败的处理方式</w:t>
            </w:r>
          </w:p>
        </w:tc>
        <w:tc>
          <w:tcPr>
            <w:tcW w:w="5278" w:type="dxa"/>
            <w:vAlign w:val="center"/>
          </w:tcPr>
          <w:p w14:paraId="3B71082B">
            <w:pPr>
              <w:pStyle w:val="13"/>
              <w:spacing w:line="360" w:lineRule="auto"/>
              <w:rPr>
                <w:rFonts w:cs="仿宋" w:asciiTheme="minorEastAsia" w:hAnsiTheme="minorEastAsia"/>
                <w:bCs/>
              </w:rPr>
            </w:pPr>
            <w:r>
              <w:rPr>
                <w:rFonts w:hint="eastAsia" w:cs="仿宋" w:asciiTheme="minorEastAsia" w:hAnsiTheme="minorEastAsia"/>
                <w:bCs/>
              </w:rPr>
              <w:t>公开征集有效供应商不足三家的，项目根据以下情况开展：</w:t>
            </w:r>
          </w:p>
          <w:p w14:paraId="56884BA9">
            <w:pPr>
              <w:pStyle w:val="13"/>
              <w:spacing w:line="360" w:lineRule="auto"/>
              <w:rPr>
                <w:rFonts w:cs="仿宋" w:asciiTheme="minorEastAsia" w:hAnsiTheme="minorEastAsia"/>
                <w:bCs/>
              </w:rPr>
            </w:pPr>
            <w:r>
              <w:rPr>
                <w:rFonts w:hint="eastAsia" w:cs="仿宋" w:asciiTheme="minorEastAsia" w:hAnsiTheme="minorEastAsia"/>
                <w:bCs/>
              </w:rPr>
              <w:t>1.有效供应商为两家的，项目现场转为邀请竞标，评审委员会根据本项目采购文件规定的评审方法确定中标供应商。</w:t>
            </w:r>
          </w:p>
          <w:p w14:paraId="2DD1F0E5">
            <w:pPr>
              <w:pStyle w:val="13"/>
              <w:spacing w:line="360" w:lineRule="auto"/>
              <w:rPr>
                <w:rFonts w:cs="仿宋" w:asciiTheme="minorEastAsia" w:hAnsiTheme="minorEastAsia"/>
                <w:bCs/>
              </w:rPr>
            </w:pPr>
            <w:r>
              <w:rPr>
                <w:rFonts w:hint="eastAsia" w:cs="仿宋" w:asciiTheme="minorEastAsia" w:hAnsiTheme="minorEastAsia"/>
                <w:bCs/>
              </w:rPr>
              <w:t>2.有效供应商为一家的，项目现场转为直接采购，评审委员会与唯一供应商进行总计不少于三轮谈判、报价(含首轮报价)。</w:t>
            </w:r>
          </w:p>
          <w:p w14:paraId="347382F6">
            <w:pPr>
              <w:pStyle w:val="13"/>
              <w:spacing w:line="360" w:lineRule="auto"/>
              <w:rPr>
                <w:rFonts w:cs="仿宋" w:asciiTheme="minorEastAsia" w:hAnsiTheme="minorEastAsia"/>
              </w:rPr>
            </w:pPr>
            <w:r>
              <w:rPr>
                <w:rFonts w:hint="eastAsia" w:cs="仿宋" w:asciiTheme="minorEastAsia" w:hAnsiTheme="minorEastAsia"/>
                <w:bCs/>
              </w:rPr>
              <w:t>3.无有效供应商的，项目公开征集失败，重新采购。</w:t>
            </w:r>
          </w:p>
        </w:tc>
      </w:tr>
      <w:tr w14:paraId="4B68F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8C41AA2">
            <w:pPr>
              <w:spacing w:line="360" w:lineRule="auto"/>
              <w:jc w:val="center"/>
              <w:rPr>
                <w:rFonts w:hint="default" w:ascii="宋体" w:hAnsi="宋体" w:eastAsia="宋体" w:cs="宋体"/>
                <w:lang w:val="en-US" w:eastAsia="zh-CN"/>
              </w:rPr>
            </w:pPr>
            <w:r>
              <w:rPr>
                <w:rFonts w:hint="eastAsia" w:ascii="宋体" w:hAnsi="宋体" w:cs="宋体"/>
                <w:lang w:val="en-US" w:eastAsia="zh-CN"/>
              </w:rPr>
              <w:t>16</w:t>
            </w:r>
          </w:p>
        </w:tc>
        <w:tc>
          <w:tcPr>
            <w:tcW w:w="850" w:type="dxa"/>
            <w:vAlign w:val="center"/>
          </w:tcPr>
          <w:p w14:paraId="58C74FBF">
            <w:pPr>
              <w:spacing w:line="360" w:lineRule="auto"/>
              <w:jc w:val="center"/>
              <w:rPr>
                <w:rFonts w:ascii="宋体" w:hAnsi="宋体" w:cs="宋体"/>
              </w:rPr>
            </w:pPr>
          </w:p>
        </w:tc>
        <w:tc>
          <w:tcPr>
            <w:tcW w:w="2376" w:type="dxa"/>
            <w:vAlign w:val="center"/>
          </w:tcPr>
          <w:p w14:paraId="710B2902">
            <w:pPr>
              <w:spacing w:line="340" w:lineRule="exact"/>
              <w:jc w:val="center"/>
              <w:rPr>
                <w:rFonts w:ascii="宋体" w:hAnsi="宋体" w:cs="宋体"/>
              </w:rPr>
            </w:pPr>
            <w:r>
              <w:rPr>
                <w:rFonts w:hint="eastAsia" w:ascii="宋体" w:hAnsi="宋体" w:cs="宋体"/>
              </w:rPr>
              <w:t>采购控制金额</w:t>
            </w:r>
          </w:p>
          <w:p w14:paraId="37690840">
            <w:pPr>
              <w:spacing w:line="340" w:lineRule="exact"/>
              <w:jc w:val="center"/>
              <w:rPr>
                <w:rFonts w:ascii="宋体" w:hAnsi="宋体" w:cs="宋体"/>
              </w:rPr>
            </w:pPr>
            <w:r>
              <w:rPr>
                <w:rFonts w:hint="eastAsia" w:ascii="宋体" w:hAnsi="宋体" w:cs="宋体"/>
              </w:rPr>
              <w:t>（最高投标限价）</w:t>
            </w:r>
          </w:p>
        </w:tc>
        <w:tc>
          <w:tcPr>
            <w:tcW w:w="5278" w:type="dxa"/>
            <w:vAlign w:val="center"/>
          </w:tcPr>
          <w:p w14:paraId="71D7508B">
            <w:pPr>
              <w:pStyle w:val="13"/>
              <w:spacing w:line="340" w:lineRule="exact"/>
              <w:rPr>
                <w:rFonts w:cs="仿宋" w:asciiTheme="minorEastAsia" w:hAnsiTheme="minorEastAsia"/>
                <w:b/>
              </w:rPr>
            </w:pPr>
            <w:r>
              <w:rPr>
                <w:rFonts w:hint="eastAsia" w:cs="仿宋" w:asciiTheme="minorEastAsia" w:hAnsiTheme="minorEastAsia"/>
                <w:b/>
                <w:highlight w:val="yellow"/>
              </w:rPr>
              <w:t>人民币</w:t>
            </w:r>
            <w:r>
              <w:rPr>
                <w:rFonts w:hint="eastAsia" w:cs="仿宋" w:asciiTheme="minorEastAsia" w:hAnsiTheme="minorEastAsia"/>
                <w:b/>
                <w:highlight w:val="yellow"/>
                <w:lang w:val="en-US" w:eastAsia="zh-CN"/>
              </w:rPr>
              <w:t>39.69</w:t>
            </w:r>
            <w:r>
              <w:rPr>
                <w:rFonts w:hint="eastAsia" w:cs="仿宋" w:asciiTheme="minorEastAsia" w:hAnsiTheme="minorEastAsia"/>
                <w:b/>
                <w:highlight w:val="yellow"/>
              </w:rPr>
              <w:t>万元</w:t>
            </w:r>
          </w:p>
        </w:tc>
      </w:tr>
    </w:tbl>
    <w:p w14:paraId="34742AD5">
      <w:pPr>
        <w:rPr>
          <w:rFonts w:hint="eastAsia" w:cs="仿宋" w:asciiTheme="minorEastAsia" w:hAnsiTheme="minorEastAsia" w:eastAsiaTheme="minorEastAsia"/>
          <w:b/>
          <w:sz w:val="36"/>
          <w:szCs w:val="32"/>
        </w:rPr>
      </w:pPr>
      <w:r>
        <w:rPr>
          <w:rFonts w:hint="eastAsia" w:cs="仿宋" w:asciiTheme="minorEastAsia" w:hAnsiTheme="minorEastAsia" w:eastAsiaTheme="minorEastAsia"/>
          <w:b/>
          <w:sz w:val="36"/>
          <w:szCs w:val="32"/>
        </w:rPr>
        <w:br w:type="page"/>
      </w:r>
    </w:p>
    <w:p w14:paraId="04360155">
      <w:pPr>
        <w:jc w:val="center"/>
        <w:rPr>
          <w:rFonts w:cs="仿宋" w:asciiTheme="minorEastAsia" w:hAnsiTheme="minorEastAsia" w:eastAsiaTheme="minorEastAsia"/>
          <w:b/>
          <w:sz w:val="36"/>
          <w:szCs w:val="32"/>
        </w:rPr>
      </w:pPr>
      <w:r>
        <w:rPr>
          <w:rFonts w:hint="eastAsia" w:cs="仿宋" w:asciiTheme="minorEastAsia" w:hAnsiTheme="minorEastAsia" w:eastAsiaTheme="minorEastAsia"/>
          <w:b/>
          <w:sz w:val="36"/>
          <w:szCs w:val="32"/>
        </w:rPr>
        <w:t>投标须知前附件</w:t>
      </w:r>
    </w:p>
    <w:p w14:paraId="097AFF0B">
      <w:pPr>
        <w:adjustRightInd w:val="0"/>
        <w:spacing w:line="360" w:lineRule="auto"/>
        <w:ind w:firstLine="420" w:firstLineChars="200"/>
        <w:rPr>
          <w:rFonts w:cs="仿宋" w:asciiTheme="minorEastAsia" w:hAnsiTheme="minorEastAsia" w:eastAsiaTheme="minorEastAsia"/>
          <w:snapToGrid w:val="0"/>
          <w:kern w:val="0"/>
        </w:rPr>
      </w:pPr>
    </w:p>
    <w:p w14:paraId="74D10F39">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14:paraId="15518728">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请评委重点审查供应商是否存在《深圳经济特区政府采购条例实施细则》第七十五条规定的串通投标情形：</w:t>
      </w:r>
    </w:p>
    <w:p w14:paraId="2C6A0A96">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14:paraId="4C815054">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14:paraId="30800BF9">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14:paraId="7BD3AC53">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14:paraId="20D4D8CD">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14:paraId="288F35F9">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14:paraId="2F78AB4D">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14:paraId="7A12768D">
      <w:pPr>
        <w:adjustRightInd w:val="0"/>
        <w:spacing w:line="360" w:lineRule="auto"/>
        <w:rPr>
          <w:rFonts w:cs="仿宋" w:asciiTheme="minorEastAsia" w:hAnsiTheme="minorEastAsia" w:eastAsiaTheme="minorEastAsia"/>
          <w:snapToGrid w:val="0"/>
          <w:kern w:val="0"/>
        </w:rPr>
      </w:pPr>
    </w:p>
    <w:p w14:paraId="4005865F">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14:paraId="375FE07C">
      <w:pPr>
        <w:numPr>
          <w:ilvl w:val="0"/>
          <w:numId w:val="1"/>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14:paraId="7661A0CB">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14:paraId="6F481ADE">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14:paraId="1CB06436">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14:paraId="2FCDD02B">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14:paraId="1FE4A03F">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14:paraId="3DB1E259">
      <w:pPr>
        <w:numPr>
          <w:ilvl w:val="0"/>
          <w:numId w:val="2"/>
        </w:numPr>
        <w:adjustRightInd w:val="0"/>
        <w:spacing w:line="360" w:lineRule="auto"/>
        <w:rPr>
          <w:rFonts w:cs="仿宋" w:asciiTheme="minorEastAsia" w:hAnsiTheme="minorEastAsia" w:eastAsiaTheme="minorEastAsia"/>
          <w:snapToGrid w:val="0"/>
          <w:kern w:val="0"/>
        </w:rPr>
      </w:pPr>
      <w:r>
        <w:rPr>
          <w:rFonts w:hint="eastAsia" w:ascii="宋体" w:hAnsi="宋体"/>
          <w:snapToGrid w:val="0"/>
          <w:kern w:val="0"/>
        </w:rPr>
        <w:t>对征集文件规定的货物或服务采购清单或工程量清单的项目或数量进行修改，评标委员会判定投标响应不满足采购需求的</w:t>
      </w:r>
      <w:r>
        <w:rPr>
          <w:rFonts w:hint="eastAsia" w:cs="仿宋" w:asciiTheme="minorEastAsia" w:hAnsiTheme="minorEastAsia" w:eastAsiaTheme="minorEastAsia"/>
          <w:snapToGrid w:val="0"/>
          <w:kern w:val="0"/>
        </w:rPr>
        <w:t>。</w:t>
      </w:r>
    </w:p>
    <w:p w14:paraId="4C9BAFCD">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14:paraId="33000365">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14:paraId="76DF5521">
      <w:pPr>
        <w:numPr>
          <w:ilvl w:val="0"/>
          <w:numId w:val="2"/>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14:paraId="05FE6604">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w:t>
      </w:r>
      <w:r>
        <w:rPr>
          <w:rFonts w:hint="eastAsia" w:ascii="Times New Roman" w:hAnsi="Times New Roman"/>
          <w:szCs w:val="21"/>
        </w:rPr>
        <w:t>征集</w:t>
      </w:r>
      <w:r>
        <w:rPr>
          <w:rFonts w:ascii="Times New Roman" w:hAnsi="Times New Roman"/>
          <w:szCs w:val="21"/>
        </w:rPr>
        <w:t>文件另有规定的除外）</w:t>
      </w:r>
      <w:r>
        <w:rPr>
          <w:rFonts w:hint="eastAsia" w:cs="仿宋" w:asciiTheme="minorEastAsia" w:hAnsiTheme="minorEastAsia" w:eastAsiaTheme="minorEastAsia"/>
          <w:snapToGrid w:val="0"/>
          <w:kern w:val="0"/>
        </w:rPr>
        <w:t>。</w:t>
      </w:r>
    </w:p>
    <w:p w14:paraId="70A844B2">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14:paraId="711CA8D5">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0F4F682F">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投标总价或单个采购条目的分项报价超过采购预算金额或最高限价的。</w:t>
      </w:r>
    </w:p>
    <w:p w14:paraId="5FC07AB9">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r>
        <w:rPr>
          <w:rFonts w:hint="eastAsia" w:cs="仿宋" w:asciiTheme="minorEastAsia" w:hAnsiTheme="minorEastAsia" w:eastAsiaTheme="minorEastAsia"/>
          <w:b/>
          <w:bCs/>
          <w:sz w:val="32"/>
        </w:rPr>
        <w:br w:type="page"/>
      </w:r>
    </w:p>
    <w:p w14:paraId="00D25DEE">
      <w:pPr>
        <w:spacing w:line="360" w:lineRule="auto"/>
        <w:jc w:val="center"/>
        <w:rPr>
          <w:rFonts w:cs="仿宋" w:asciiTheme="minorEastAsia" w:hAnsiTheme="minorEastAsia" w:eastAsiaTheme="minorEastAsia"/>
          <w:b/>
          <w:sz w:val="36"/>
        </w:rPr>
      </w:pPr>
      <w:r>
        <w:rPr>
          <w:rFonts w:hint="eastAsia" w:cs="仿宋" w:asciiTheme="minorEastAsia" w:hAnsiTheme="minorEastAsia" w:eastAsiaTheme="minorEastAsia"/>
          <w:b/>
          <w:sz w:val="36"/>
        </w:rPr>
        <w:t>评审信息</w:t>
      </w:r>
    </w:p>
    <w:p w14:paraId="5CD78E24">
      <w:pPr>
        <w:spacing w:line="360" w:lineRule="auto"/>
        <w:jc w:val="left"/>
        <w:rPr>
          <w:rFonts w:cs="仿宋" w:asciiTheme="minorEastAsia" w:hAnsiTheme="minorEastAsia" w:eastAsiaTheme="minorEastAsia"/>
          <w:b/>
          <w:szCs w:val="21"/>
        </w:rPr>
      </w:pPr>
    </w:p>
    <w:p w14:paraId="4AD8AB45">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14:paraId="021CC544">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综合评分法，是指在最大限度地满足征集文件实质性要求的前提下，按照征集文件中规定的各项因素进行综合评审，评审总得分排名前列的投标供应商，作为推荐的候选中标供应商。</w:t>
      </w:r>
    </w:p>
    <w:tbl>
      <w:tblPr>
        <w:tblStyle w:val="22"/>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40"/>
        <w:gridCol w:w="674"/>
        <w:gridCol w:w="6396"/>
      </w:tblGrid>
      <w:tr w14:paraId="3B8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5" w:type="dxa"/>
            <w:tcBorders>
              <w:top w:val="double" w:color="auto" w:sz="4" w:space="0"/>
              <w:left w:val="double" w:color="auto" w:sz="4" w:space="0"/>
              <w:bottom w:val="single" w:color="auto" w:sz="4" w:space="0"/>
            </w:tcBorders>
            <w:shd w:val="clear" w:color="auto" w:fill="8DB3E2"/>
            <w:vAlign w:val="center"/>
          </w:tcPr>
          <w:p w14:paraId="50E9D06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类别</w:t>
            </w:r>
          </w:p>
        </w:tc>
        <w:tc>
          <w:tcPr>
            <w:tcW w:w="1140" w:type="dxa"/>
            <w:tcBorders>
              <w:top w:val="double" w:color="auto" w:sz="4" w:space="0"/>
            </w:tcBorders>
            <w:shd w:val="clear" w:color="auto" w:fill="8DB3E2"/>
            <w:vAlign w:val="center"/>
          </w:tcPr>
          <w:p w14:paraId="36AC9EB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评分项目</w:t>
            </w:r>
          </w:p>
        </w:tc>
        <w:tc>
          <w:tcPr>
            <w:tcW w:w="674" w:type="dxa"/>
            <w:tcBorders>
              <w:top w:val="double" w:color="auto" w:sz="4" w:space="0"/>
            </w:tcBorders>
            <w:shd w:val="clear" w:color="auto" w:fill="8DB3E2"/>
            <w:vAlign w:val="center"/>
          </w:tcPr>
          <w:p w14:paraId="6EF4A29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权重</w:t>
            </w:r>
          </w:p>
        </w:tc>
        <w:tc>
          <w:tcPr>
            <w:tcW w:w="6396" w:type="dxa"/>
            <w:tcBorders>
              <w:top w:val="double" w:color="auto" w:sz="4" w:space="0"/>
              <w:right w:val="double" w:color="auto" w:sz="4" w:space="0"/>
            </w:tcBorders>
            <w:shd w:val="clear" w:color="auto" w:fill="8DB3E2"/>
            <w:vAlign w:val="center"/>
          </w:tcPr>
          <w:p w14:paraId="4A99E65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备注</w:t>
            </w:r>
          </w:p>
        </w:tc>
      </w:tr>
      <w:tr w14:paraId="1104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left w:val="double" w:color="auto" w:sz="4" w:space="0"/>
            </w:tcBorders>
            <w:vAlign w:val="center"/>
          </w:tcPr>
          <w:p w14:paraId="1C753E47">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价格部分（G）</w:t>
            </w:r>
          </w:p>
          <w:p w14:paraId="32E603DA">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10</w:t>
            </w:r>
            <w:r>
              <w:rPr>
                <w:rFonts w:hint="eastAsia" w:ascii="宋体" w:hAnsi="宋体" w:eastAsia="宋体" w:cs="宋体"/>
                <w:b/>
                <w:bCs/>
                <w:snapToGrid w:val="0"/>
                <w:kern w:val="0"/>
                <w:sz w:val="21"/>
                <w:szCs w:val="21"/>
              </w:rPr>
              <w:t>分）</w:t>
            </w:r>
          </w:p>
        </w:tc>
        <w:tc>
          <w:tcPr>
            <w:tcW w:w="1140" w:type="dxa"/>
            <w:vAlign w:val="center"/>
          </w:tcPr>
          <w:p w14:paraId="4D75254E">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投标报价</w:t>
            </w:r>
          </w:p>
        </w:tc>
        <w:tc>
          <w:tcPr>
            <w:tcW w:w="674" w:type="dxa"/>
            <w:vAlign w:val="center"/>
          </w:tcPr>
          <w:p w14:paraId="62A04EAD">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6396" w:type="dxa"/>
            <w:tcBorders>
              <w:right w:val="double" w:color="auto" w:sz="4" w:space="0"/>
            </w:tcBorders>
            <w:vAlign w:val="center"/>
          </w:tcPr>
          <w:p w14:paraId="2D8A5A2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价格分采用低价优先法计算，即满足征集文件要求且投标价格最低的投标报价为评标基准价，其价格分为满分。其他投标供应商的价格分统一按照下列公式计算：</w:t>
            </w:r>
          </w:p>
          <w:p w14:paraId="4930AB6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5E0C122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0ABAF93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1CEDD094">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r>
      <w:tr w14:paraId="0E10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restart"/>
            <w:tcBorders>
              <w:left w:val="double" w:color="auto" w:sz="4" w:space="0"/>
            </w:tcBorders>
            <w:vAlign w:val="center"/>
          </w:tcPr>
          <w:p w14:paraId="7AFAA775">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技术部分（J）</w:t>
            </w:r>
          </w:p>
          <w:p w14:paraId="53F0D134">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（总分4</w:t>
            </w:r>
            <w:r>
              <w:rPr>
                <w:rFonts w:hint="eastAsia" w:ascii="宋体" w:hAnsi="宋体" w:eastAsia="宋体" w:cs="宋体"/>
                <w:b/>
                <w:bCs/>
                <w:snapToGrid w:val="0"/>
                <w:kern w:val="0"/>
                <w:sz w:val="21"/>
                <w:szCs w:val="21"/>
                <w:lang w:val="en-US" w:eastAsia="zh-CN"/>
              </w:rPr>
              <w:t>7</w:t>
            </w:r>
            <w:r>
              <w:rPr>
                <w:rFonts w:hint="eastAsia" w:ascii="宋体" w:hAnsi="宋体" w:eastAsia="宋体" w:cs="宋体"/>
                <w:b/>
                <w:bCs/>
                <w:snapToGrid w:val="0"/>
                <w:kern w:val="0"/>
                <w:sz w:val="21"/>
                <w:szCs w:val="21"/>
              </w:rPr>
              <w:t>分）</w:t>
            </w:r>
          </w:p>
        </w:tc>
        <w:tc>
          <w:tcPr>
            <w:tcW w:w="1140" w:type="dxa"/>
            <w:vAlign w:val="center"/>
          </w:tcPr>
          <w:p w14:paraId="7EFED4F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实施方案</w:t>
            </w:r>
          </w:p>
        </w:tc>
        <w:tc>
          <w:tcPr>
            <w:tcW w:w="674" w:type="dxa"/>
            <w:vAlign w:val="center"/>
          </w:tcPr>
          <w:p w14:paraId="3BF5567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6396" w:type="dxa"/>
            <w:tcBorders>
              <w:right w:val="double" w:color="auto" w:sz="4" w:space="0"/>
            </w:tcBorders>
            <w:vAlign w:val="center"/>
          </w:tcPr>
          <w:p w14:paraId="106E721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3C21BBD">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根据本项目征集文件的用户需求，投标供应商制定符合本项目特点的实施方案，内容包括：</w:t>
            </w:r>
          </w:p>
          <w:p w14:paraId="374F7C2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1、配送服务的货源；</w:t>
            </w:r>
          </w:p>
          <w:p w14:paraId="39A53245">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2、采购渠道；</w:t>
            </w:r>
          </w:p>
          <w:p w14:paraId="67D681FB">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3、供货保障；</w:t>
            </w:r>
          </w:p>
          <w:p w14:paraId="6E35CCA5">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4、品质监控；</w:t>
            </w:r>
          </w:p>
          <w:p w14:paraId="1C2C2F75">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5、日常管理组织；</w:t>
            </w:r>
          </w:p>
          <w:p w14:paraId="385504C6">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6、应急预案；</w:t>
            </w:r>
          </w:p>
          <w:p w14:paraId="0AD9F88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7、物流配送等方面。</w:t>
            </w:r>
          </w:p>
          <w:p w14:paraId="695FD89D">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54DF052E">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476C45E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方案包含以上</w:t>
            </w:r>
            <w:r>
              <w:rPr>
                <w:rFonts w:hint="eastAsia" w:ascii="宋体" w:hAnsi="宋体" w:eastAsia="宋体" w:cs="宋体"/>
                <w:kern w:val="0"/>
                <w:sz w:val="21"/>
                <w:szCs w:val="21"/>
                <w:lang w:val="en-US" w:eastAsia="zh-CN"/>
              </w:rPr>
              <w:t>七</w:t>
            </w:r>
            <w:r>
              <w:rPr>
                <w:rFonts w:hint="eastAsia" w:ascii="宋体" w:hAnsi="宋体" w:eastAsia="宋体" w:cs="宋体"/>
                <w:kern w:val="0"/>
                <w:sz w:val="21"/>
                <w:szCs w:val="21"/>
              </w:rPr>
              <w:t>项内容得</w:t>
            </w:r>
            <w:r>
              <w:rPr>
                <w:rFonts w:hint="eastAsia" w:ascii="宋体" w:hAnsi="宋体" w:cs="宋体"/>
                <w:kern w:val="0"/>
                <w:sz w:val="21"/>
                <w:szCs w:val="21"/>
                <w:lang w:val="en-US" w:eastAsia="zh-CN"/>
              </w:rPr>
              <w:t>10</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包含以上</w:t>
            </w:r>
            <w:r>
              <w:rPr>
                <w:rFonts w:hint="eastAsia" w:ascii="宋体" w:hAnsi="宋体" w:eastAsia="宋体" w:cs="宋体"/>
                <w:kern w:val="0"/>
                <w:sz w:val="21"/>
                <w:szCs w:val="21"/>
                <w:lang w:val="en-US" w:eastAsia="zh-CN"/>
              </w:rPr>
              <w:t>六</w:t>
            </w:r>
            <w:r>
              <w:rPr>
                <w:rFonts w:hint="eastAsia" w:ascii="宋体" w:hAnsi="宋体" w:eastAsia="宋体" w:cs="宋体"/>
                <w:kern w:val="0"/>
                <w:sz w:val="21"/>
                <w:szCs w:val="21"/>
              </w:rPr>
              <w:t>项内容得</w:t>
            </w:r>
            <w:r>
              <w:rPr>
                <w:rFonts w:hint="eastAsia" w:ascii="宋体" w:hAnsi="宋体" w:cs="宋体"/>
                <w:kern w:val="0"/>
                <w:sz w:val="21"/>
                <w:szCs w:val="21"/>
                <w:lang w:val="en-US" w:eastAsia="zh-CN"/>
              </w:rPr>
              <w:t>8.5</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包含以上</w:t>
            </w: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项内容得</w:t>
            </w:r>
            <w:r>
              <w:rPr>
                <w:rFonts w:hint="eastAsia" w:ascii="宋体" w:hAnsi="宋体" w:cs="宋体"/>
                <w:kern w:val="0"/>
                <w:sz w:val="21"/>
                <w:szCs w:val="21"/>
                <w:lang w:val="en-US" w:eastAsia="zh-CN"/>
              </w:rPr>
              <w:t>7</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包含以上</w:t>
            </w:r>
            <w:r>
              <w:rPr>
                <w:rFonts w:hint="eastAsia" w:ascii="宋体" w:hAnsi="宋体" w:eastAsia="宋体" w:cs="宋体"/>
                <w:kern w:val="0"/>
                <w:sz w:val="21"/>
                <w:szCs w:val="21"/>
                <w:lang w:val="en-US" w:eastAsia="zh-CN"/>
              </w:rPr>
              <w:t>四</w:t>
            </w:r>
            <w:r>
              <w:rPr>
                <w:rFonts w:hint="eastAsia" w:ascii="宋体" w:hAnsi="宋体" w:eastAsia="宋体" w:cs="宋体"/>
                <w:kern w:val="0"/>
                <w:sz w:val="21"/>
                <w:szCs w:val="21"/>
              </w:rPr>
              <w:t>项内容得</w:t>
            </w:r>
            <w:r>
              <w:rPr>
                <w:rFonts w:hint="eastAsia" w:ascii="宋体" w:hAnsi="宋体" w:cs="宋体"/>
                <w:kern w:val="0"/>
                <w:sz w:val="21"/>
                <w:szCs w:val="21"/>
                <w:lang w:val="en-US" w:eastAsia="zh-CN"/>
              </w:rPr>
              <w:t>5.5</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包含以上三项内容得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分；包含以上二项内容得</w:t>
            </w:r>
            <w:r>
              <w:rPr>
                <w:rFonts w:hint="eastAsia" w:ascii="宋体" w:hAnsi="宋体" w:cs="宋体"/>
                <w:kern w:val="0"/>
                <w:sz w:val="21"/>
                <w:szCs w:val="21"/>
                <w:lang w:val="en-US" w:eastAsia="zh-CN"/>
              </w:rPr>
              <w:t>2.5</w:t>
            </w:r>
            <w:r>
              <w:rPr>
                <w:rFonts w:hint="eastAsia" w:ascii="宋体" w:hAnsi="宋体" w:eastAsia="宋体" w:cs="宋体"/>
                <w:kern w:val="0"/>
                <w:sz w:val="21"/>
                <w:szCs w:val="21"/>
              </w:rPr>
              <w:t>分；包含以上一项内容得</w:t>
            </w:r>
            <w:r>
              <w:rPr>
                <w:rFonts w:hint="eastAsia" w:ascii="宋体" w:hAnsi="宋体" w:cs="宋体"/>
                <w:kern w:val="0"/>
                <w:sz w:val="21"/>
                <w:szCs w:val="21"/>
                <w:lang w:val="en-US" w:eastAsia="zh-CN"/>
              </w:rPr>
              <w:t>1</w:t>
            </w:r>
            <w:r>
              <w:rPr>
                <w:rFonts w:hint="eastAsia" w:ascii="宋体" w:hAnsi="宋体" w:eastAsia="宋体" w:cs="宋体"/>
                <w:kern w:val="0"/>
                <w:sz w:val="21"/>
                <w:szCs w:val="21"/>
              </w:rPr>
              <w:t>分；其他情况不得分。在此基础上，根据方案响应情况进一步评审：</w:t>
            </w:r>
          </w:p>
          <w:p w14:paraId="1F84EA3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1.实施</w:t>
            </w:r>
            <w:r>
              <w:rPr>
                <w:rFonts w:hint="eastAsia" w:ascii="宋体" w:hAnsi="宋体" w:eastAsia="宋体" w:cs="宋体"/>
                <w:kern w:val="0"/>
                <w:sz w:val="21"/>
                <w:szCs w:val="21"/>
              </w:rPr>
              <w:t>方案内容详尽，具有</w:t>
            </w:r>
            <w:r>
              <w:rPr>
                <w:rFonts w:hint="eastAsia" w:ascii="宋体" w:hAnsi="宋体" w:eastAsia="宋体" w:cs="宋体"/>
                <w:kern w:val="0"/>
                <w:sz w:val="21"/>
                <w:szCs w:val="21"/>
                <w:lang w:val="en-US" w:eastAsia="zh-CN"/>
              </w:rPr>
              <w:t>较强的</w:t>
            </w:r>
            <w:r>
              <w:rPr>
                <w:rFonts w:hint="eastAsia" w:ascii="宋体" w:hAnsi="宋体" w:eastAsia="宋体" w:cs="宋体"/>
                <w:kern w:val="0"/>
                <w:sz w:val="21"/>
                <w:szCs w:val="21"/>
              </w:rPr>
              <w:t>科学性，可操作性</w:t>
            </w:r>
            <w:r>
              <w:rPr>
                <w:rFonts w:hint="eastAsia" w:ascii="宋体" w:hAnsi="宋体" w:eastAsia="宋体" w:cs="宋体"/>
                <w:kern w:val="0"/>
                <w:sz w:val="21"/>
                <w:szCs w:val="21"/>
                <w:lang w:val="en-US" w:eastAsia="zh-CN"/>
              </w:rPr>
              <w:t>强的</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加</w:t>
            </w:r>
            <w:r>
              <w:rPr>
                <w:rFonts w:hint="eastAsia" w:ascii="宋体" w:hAnsi="宋体" w:cs="宋体"/>
                <w:kern w:val="0"/>
                <w:sz w:val="21"/>
                <w:szCs w:val="21"/>
                <w:lang w:val="en-US" w:eastAsia="zh-CN"/>
              </w:rPr>
              <w:t>5</w:t>
            </w:r>
            <w:r>
              <w:rPr>
                <w:rFonts w:hint="eastAsia" w:ascii="宋体" w:hAnsi="宋体" w:eastAsia="宋体" w:cs="宋体"/>
                <w:kern w:val="0"/>
                <w:sz w:val="21"/>
                <w:szCs w:val="21"/>
              </w:rPr>
              <w:t>分；</w:t>
            </w:r>
          </w:p>
          <w:p w14:paraId="38A99A8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2.实施</w:t>
            </w:r>
            <w:r>
              <w:rPr>
                <w:rFonts w:hint="eastAsia" w:ascii="宋体" w:hAnsi="宋体" w:eastAsia="宋体" w:cs="宋体"/>
                <w:kern w:val="0"/>
                <w:sz w:val="21"/>
                <w:szCs w:val="21"/>
              </w:rPr>
              <w:t>方案内容详尽，具有科学性一般，可操作性一般</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加</w:t>
            </w:r>
            <w:r>
              <w:rPr>
                <w:rFonts w:hint="eastAsia" w:ascii="宋体" w:hAnsi="宋体" w:cs="宋体"/>
                <w:kern w:val="0"/>
                <w:sz w:val="21"/>
                <w:szCs w:val="21"/>
                <w:lang w:val="en-US" w:eastAsia="zh-CN"/>
              </w:rPr>
              <w:t>3</w:t>
            </w:r>
            <w:r>
              <w:rPr>
                <w:rFonts w:hint="eastAsia" w:ascii="宋体" w:hAnsi="宋体" w:eastAsia="宋体" w:cs="宋体"/>
                <w:kern w:val="0"/>
                <w:sz w:val="21"/>
                <w:szCs w:val="21"/>
              </w:rPr>
              <w:t>分；</w:t>
            </w:r>
          </w:p>
          <w:p w14:paraId="3E9BCCF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3.实施</w:t>
            </w:r>
            <w:r>
              <w:rPr>
                <w:rFonts w:hint="eastAsia" w:ascii="宋体" w:hAnsi="宋体" w:eastAsia="宋体" w:cs="宋体"/>
                <w:kern w:val="0"/>
                <w:sz w:val="21"/>
                <w:szCs w:val="21"/>
              </w:rPr>
              <w:t>方案内容一般，具有科学性一般，可操作性不强</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加1</w:t>
            </w:r>
            <w:r>
              <w:rPr>
                <w:rFonts w:hint="eastAsia" w:ascii="宋体" w:hAnsi="宋体" w:eastAsia="宋体" w:cs="宋体"/>
                <w:kern w:val="0"/>
                <w:sz w:val="21"/>
                <w:szCs w:val="21"/>
              </w:rPr>
              <w:t>分；</w:t>
            </w:r>
          </w:p>
          <w:p w14:paraId="0AC71E2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4.实施</w:t>
            </w:r>
            <w:r>
              <w:rPr>
                <w:rFonts w:hint="eastAsia" w:ascii="宋体" w:hAnsi="宋体" w:eastAsia="宋体" w:cs="宋体"/>
                <w:kern w:val="0"/>
                <w:sz w:val="21"/>
                <w:szCs w:val="21"/>
              </w:rPr>
              <w:t>不提供方案，或方案表述内容不清晰</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不</w:t>
            </w:r>
            <w:r>
              <w:rPr>
                <w:rFonts w:hint="eastAsia" w:ascii="宋体" w:hAnsi="宋体" w:eastAsia="宋体" w:cs="宋体"/>
                <w:kern w:val="0"/>
                <w:sz w:val="21"/>
                <w:szCs w:val="21"/>
                <w:lang w:val="en-US" w:eastAsia="zh-CN"/>
              </w:rPr>
              <w:t>加</w:t>
            </w:r>
            <w:r>
              <w:rPr>
                <w:rFonts w:hint="eastAsia" w:ascii="宋体" w:hAnsi="宋体" w:eastAsia="宋体" w:cs="宋体"/>
                <w:kern w:val="0"/>
                <w:sz w:val="21"/>
                <w:szCs w:val="21"/>
              </w:rPr>
              <w:t>分。</w:t>
            </w:r>
          </w:p>
        </w:tc>
      </w:tr>
      <w:tr w14:paraId="2B60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Borders>
              <w:left w:val="double" w:color="auto" w:sz="4" w:space="0"/>
            </w:tcBorders>
            <w:vAlign w:val="center"/>
          </w:tcPr>
          <w:p w14:paraId="1F681267">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6C3C216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项目重点难点分析、应对措施及相关的合理化建议</w:t>
            </w:r>
          </w:p>
        </w:tc>
        <w:tc>
          <w:tcPr>
            <w:tcW w:w="674" w:type="dxa"/>
            <w:vAlign w:val="center"/>
          </w:tcPr>
          <w:p w14:paraId="3D7A67D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12</w:t>
            </w:r>
          </w:p>
        </w:tc>
        <w:tc>
          <w:tcPr>
            <w:tcW w:w="6396" w:type="dxa"/>
            <w:tcBorders>
              <w:right w:val="double" w:color="auto" w:sz="4" w:space="0"/>
            </w:tcBorders>
            <w:vAlign w:val="center"/>
          </w:tcPr>
          <w:p w14:paraId="6A72504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222C451">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根据本项目征集文件的用户需求，投标供应商制定符合本项目特点的项目重点难点分析、应对措施及相关的合理化建议，内容包括：</w:t>
            </w:r>
          </w:p>
          <w:p w14:paraId="1CFFCBA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1、针对采购单位的工作性质就可能发生的供货，配送等环节的重点难点；</w:t>
            </w:r>
          </w:p>
          <w:p w14:paraId="6E581C8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2、针对可能发生的突发情况进行分析；</w:t>
            </w:r>
          </w:p>
          <w:p w14:paraId="4700BAD0">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3、提供应对措施及相关的合理化建议。</w:t>
            </w:r>
          </w:p>
          <w:p w14:paraId="52C6B7E4">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p>
          <w:p w14:paraId="3DEC8F60">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05A8CCC8">
            <w:pPr>
              <w:pStyle w:val="2"/>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rPr>
              <w:t>方案包含以上三项内容得</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分；包含以上二项内容得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分；包含以上一项内容得2分；</w:t>
            </w:r>
            <w:r>
              <w:rPr>
                <w:rFonts w:hint="eastAsia" w:ascii="宋体" w:hAnsi="宋体" w:eastAsia="宋体" w:cs="宋体"/>
                <w:sz w:val="21"/>
                <w:szCs w:val="21"/>
              </w:rPr>
              <w:t>其他情况不得分。在此基础上，根据方案响应情况进一步评审：</w:t>
            </w:r>
          </w:p>
          <w:p w14:paraId="550199EA">
            <w:pPr>
              <w:pStyle w:val="2"/>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1.重点难点</w:t>
            </w:r>
            <w:r>
              <w:rPr>
                <w:rFonts w:hint="eastAsia" w:ascii="宋体" w:hAnsi="宋体" w:eastAsia="宋体" w:cs="宋体"/>
                <w:sz w:val="21"/>
                <w:szCs w:val="21"/>
                <w:lang w:val="en-US" w:eastAsia="zh-CN"/>
              </w:rPr>
              <w:t>内容</w:t>
            </w:r>
            <w:r>
              <w:rPr>
                <w:rFonts w:hint="eastAsia" w:ascii="宋体" w:hAnsi="宋体" w:eastAsia="宋体" w:cs="宋体"/>
                <w:sz w:val="21"/>
                <w:szCs w:val="21"/>
              </w:rPr>
              <w:t>全面，</w:t>
            </w:r>
            <w:r>
              <w:rPr>
                <w:rFonts w:hint="eastAsia" w:ascii="宋体" w:hAnsi="宋体" w:eastAsia="宋体" w:cs="宋体"/>
                <w:sz w:val="21"/>
                <w:szCs w:val="21"/>
                <w:lang w:val="en-US" w:eastAsia="zh-CN"/>
              </w:rPr>
              <w:t>重难点分析及</w:t>
            </w:r>
            <w:r>
              <w:rPr>
                <w:rFonts w:hint="eastAsia" w:ascii="宋体" w:hAnsi="宋体" w:eastAsia="宋体" w:cs="宋体"/>
                <w:sz w:val="21"/>
                <w:szCs w:val="21"/>
              </w:rPr>
              <w:t>应对措施可行性高，相关建议科学合理的，加</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72205263">
            <w:pPr>
              <w:pStyle w:val="2"/>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2.重点难点</w:t>
            </w:r>
            <w:r>
              <w:rPr>
                <w:rFonts w:hint="eastAsia" w:ascii="宋体" w:hAnsi="宋体" w:eastAsia="宋体" w:cs="宋体"/>
                <w:sz w:val="21"/>
                <w:szCs w:val="21"/>
                <w:lang w:val="en-US" w:eastAsia="zh-CN"/>
              </w:rPr>
              <w:t>内容</w:t>
            </w:r>
            <w:r>
              <w:rPr>
                <w:rFonts w:hint="eastAsia" w:ascii="宋体" w:hAnsi="宋体" w:eastAsia="宋体" w:cs="宋体"/>
                <w:sz w:val="21"/>
                <w:szCs w:val="21"/>
              </w:rPr>
              <w:t>比较全面，</w:t>
            </w:r>
            <w:r>
              <w:rPr>
                <w:rFonts w:hint="eastAsia" w:ascii="宋体" w:hAnsi="宋体" w:eastAsia="宋体" w:cs="宋体"/>
                <w:sz w:val="21"/>
                <w:szCs w:val="21"/>
                <w:lang w:val="en-US" w:eastAsia="zh-CN"/>
              </w:rPr>
              <w:t>重难点分析及</w:t>
            </w:r>
            <w:r>
              <w:rPr>
                <w:rFonts w:hint="eastAsia" w:ascii="宋体" w:hAnsi="宋体" w:eastAsia="宋体" w:cs="宋体"/>
                <w:sz w:val="21"/>
                <w:szCs w:val="21"/>
              </w:rPr>
              <w:t>应对措施可行性较高，相关建议比较合理的，加4分；</w:t>
            </w:r>
          </w:p>
          <w:p w14:paraId="140142F6">
            <w:pPr>
              <w:pStyle w:val="2"/>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3.重点难点</w:t>
            </w:r>
            <w:r>
              <w:rPr>
                <w:rFonts w:hint="eastAsia" w:ascii="宋体" w:hAnsi="宋体" w:eastAsia="宋体" w:cs="宋体"/>
                <w:sz w:val="21"/>
                <w:szCs w:val="21"/>
                <w:lang w:val="en-US" w:eastAsia="zh-CN"/>
              </w:rPr>
              <w:t>内容</w:t>
            </w:r>
            <w:r>
              <w:rPr>
                <w:rFonts w:hint="eastAsia" w:ascii="宋体" w:hAnsi="宋体" w:eastAsia="宋体" w:cs="宋体"/>
                <w:sz w:val="21"/>
                <w:szCs w:val="21"/>
              </w:rPr>
              <w:t>不够全面，</w:t>
            </w:r>
            <w:r>
              <w:rPr>
                <w:rFonts w:hint="eastAsia" w:ascii="宋体" w:hAnsi="宋体" w:eastAsia="宋体" w:cs="宋体"/>
                <w:sz w:val="21"/>
                <w:szCs w:val="21"/>
                <w:lang w:val="en-US" w:eastAsia="zh-CN"/>
              </w:rPr>
              <w:t>重难点分析及</w:t>
            </w:r>
            <w:r>
              <w:rPr>
                <w:rFonts w:hint="eastAsia" w:ascii="宋体" w:hAnsi="宋体" w:eastAsia="宋体" w:cs="宋体"/>
                <w:sz w:val="21"/>
                <w:szCs w:val="21"/>
              </w:rPr>
              <w:t>应对措施可行性一般，相关建议不够合理的，加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7D938827">
            <w:pPr>
              <w:pStyle w:val="2"/>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4.重点难点</w:t>
            </w:r>
            <w:r>
              <w:rPr>
                <w:rFonts w:hint="eastAsia" w:ascii="宋体" w:hAnsi="宋体" w:eastAsia="宋体" w:cs="宋体"/>
                <w:sz w:val="21"/>
                <w:szCs w:val="21"/>
                <w:lang w:val="en-US" w:eastAsia="zh-CN"/>
              </w:rPr>
              <w:t>内容</w:t>
            </w:r>
            <w:r>
              <w:rPr>
                <w:rFonts w:hint="eastAsia" w:ascii="宋体" w:hAnsi="宋体" w:eastAsia="宋体" w:cs="宋体"/>
                <w:sz w:val="21"/>
                <w:szCs w:val="21"/>
              </w:rPr>
              <w:t>不全面，</w:t>
            </w:r>
            <w:r>
              <w:rPr>
                <w:rFonts w:hint="eastAsia" w:ascii="宋体" w:hAnsi="宋体" w:eastAsia="宋体" w:cs="宋体"/>
                <w:sz w:val="21"/>
                <w:szCs w:val="21"/>
                <w:lang w:val="en-US" w:eastAsia="zh-CN"/>
              </w:rPr>
              <w:t>重难点分析及</w:t>
            </w:r>
            <w:r>
              <w:rPr>
                <w:rFonts w:hint="eastAsia" w:ascii="宋体" w:hAnsi="宋体" w:eastAsia="宋体" w:cs="宋体"/>
                <w:sz w:val="21"/>
                <w:szCs w:val="21"/>
              </w:rPr>
              <w:t>应对措施可行性低，相关建议不合理的，不加分。</w:t>
            </w:r>
          </w:p>
        </w:tc>
      </w:tr>
      <w:tr w14:paraId="17CE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Borders>
              <w:left w:val="double" w:color="auto" w:sz="4" w:space="0"/>
            </w:tcBorders>
            <w:vAlign w:val="center"/>
          </w:tcPr>
          <w:p w14:paraId="3B7CFAA2">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479A453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eastAsia="zh-CN"/>
              </w:rPr>
              <w:t>食品检测保障能力</w:t>
            </w:r>
          </w:p>
        </w:tc>
        <w:tc>
          <w:tcPr>
            <w:tcW w:w="674" w:type="dxa"/>
            <w:vAlign w:val="center"/>
          </w:tcPr>
          <w:p w14:paraId="42B3E01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6396" w:type="dxa"/>
            <w:tcBorders>
              <w:right w:val="double" w:color="auto" w:sz="4" w:space="0"/>
            </w:tcBorders>
            <w:vAlign w:val="center"/>
          </w:tcPr>
          <w:p w14:paraId="22BB44D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7FA6AB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投标供应商提供的2022年1月1日至</w:t>
            </w:r>
            <w:r>
              <w:rPr>
                <w:rFonts w:hint="eastAsia" w:ascii="宋体" w:hAnsi="宋体" w:eastAsia="宋体" w:cs="宋体"/>
                <w:sz w:val="21"/>
                <w:szCs w:val="21"/>
                <w:lang w:val="en-US" w:eastAsia="zh-CN"/>
              </w:rPr>
              <w:t>本项目</w:t>
            </w:r>
            <w:r>
              <w:rPr>
                <w:rFonts w:hint="eastAsia" w:ascii="宋体" w:hAnsi="宋体" w:eastAsia="宋体" w:cs="宋体"/>
                <w:sz w:val="21"/>
                <w:szCs w:val="21"/>
              </w:rPr>
              <w:t>投标截止日</w:t>
            </w:r>
            <w:r>
              <w:rPr>
                <w:rFonts w:hint="eastAsia" w:ascii="宋体" w:hAnsi="宋体" w:eastAsia="宋体" w:cs="宋体"/>
                <w:sz w:val="21"/>
                <w:szCs w:val="21"/>
                <w:lang w:eastAsia="zh-CN"/>
              </w:rPr>
              <w:t>（以检测报告结果出具日期或落款日期为准）</w:t>
            </w:r>
            <w:r>
              <w:rPr>
                <w:rFonts w:hint="eastAsia" w:ascii="宋体" w:hAnsi="宋体" w:eastAsia="宋体" w:cs="宋体"/>
                <w:sz w:val="21"/>
                <w:szCs w:val="21"/>
              </w:rPr>
              <w:t>由第三方检测机构</w:t>
            </w:r>
            <w:r>
              <w:rPr>
                <w:rFonts w:hint="eastAsia" w:ascii="宋体" w:hAnsi="宋体" w:eastAsia="宋体" w:cs="宋体"/>
                <w:sz w:val="21"/>
                <w:szCs w:val="21"/>
                <w:lang w:eastAsia="zh-CN"/>
              </w:rPr>
              <w:t>出具的</w:t>
            </w:r>
            <w:r>
              <w:rPr>
                <w:rFonts w:hint="eastAsia" w:ascii="宋体" w:hAnsi="宋体" w:eastAsia="宋体" w:cs="宋体"/>
                <w:sz w:val="21"/>
                <w:szCs w:val="21"/>
              </w:rPr>
              <w:t>具有CMA或CNAS印章的禽类、蔬菜、水产、大米、食用油、奶制品、冻品、豆制品、蛋类的检测报告情况：</w:t>
            </w:r>
          </w:p>
          <w:p w14:paraId="37176AD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1.禽类检测报告，单份检验报告检测项目不低于5项检测项；</w:t>
            </w:r>
          </w:p>
          <w:p w14:paraId="2183D42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2.蔬菜类检测报告，单份检验报告检测项目不低于5项检测项；</w:t>
            </w:r>
          </w:p>
          <w:p w14:paraId="5440CD4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3.水产类检测报告，单份检验报告检测项目不低于5项检测项；</w:t>
            </w:r>
          </w:p>
          <w:p w14:paraId="730FA4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4.大米类检测报告，单份检验报告检测项目不低于5项检测项；</w:t>
            </w:r>
          </w:p>
          <w:p w14:paraId="47EE5EA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5.食用油类检测报告，单份检验报告检测项目不低于5项检测项；</w:t>
            </w:r>
          </w:p>
          <w:p w14:paraId="2E28538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6.奶制品类检测报告，单份检验报告检测项目不低于5项检测项；</w:t>
            </w:r>
          </w:p>
          <w:p w14:paraId="27488C5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7.冻品类检测报告，单份检验报告检测项目不低于5项检测项；</w:t>
            </w:r>
          </w:p>
          <w:p w14:paraId="6C5CF1F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8.豆制品类检测报告，单份检验报告检测项目不低于5项检测项；</w:t>
            </w:r>
          </w:p>
          <w:p w14:paraId="4CF46A2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9.蛋类检测报告，单份检验报告检测项目不低于5项检测项。</w:t>
            </w:r>
          </w:p>
          <w:p w14:paraId="5541820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按以上要求提供检测报告，每任意一个品类提供任意一个月得0.7分，累计最高得6分；同一品</w:t>
            </w:r>
            <w:r>
              <w:rPr>
                <w:rFonts w:hint="eastAsia" w:ascii="宋体" w:hAnsi="宋体" w:cs="宋体"/>
                <w:sz w:val="21"/>
                <w:szCs w:val="21"/>
                <w:lang w:val="en-US" w:eastAsia="zh-CN"/>
              </w:rPr>
              <w:t>类</w:t>
            </w:r>
            <w:r>
              <w:rPr>
                <w:rFonts w:hint="eastAsia" w:ascii="宋体" w:hAnsi="宋体" w:eastAsia="宋体" w:cs="宋体"/>
                <w:sz w:val="21"/>
                <w:szCs w:val="21"/>
                <w:lang w:val="en-US" w:eastAsia="zh-CN"/>
              </w:rPr>
              <w:t>提供一份检测报告即可，如供应商提供多份检测报告，按投标文件编制顺序以第一份为准，其他无效。</w:t>
            </w:r>
          </w:p>
          <w:p w14:paraId="5683F8D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p>
          <w:p w14:paraId="19AC40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w:t>
            </w:r>
            <w:r>
              <w:rPr>
                <w:rFonts w:hint="eastAsia" w:ascii="宋体" w:hAnsi="宋体" w:eastAsia="宋体" w:cs="宋体"/>
                <w:sz w:val="21"/>
                <w:szCs w:val="21"/>
                <w:lang w:val="en-US" w:eastAsia="zh-CN"/>
              </w:rPr>
              <w:t>依据</w:t>
            </w:r>
            <w:r>
              <w:rPr>
                <w:rFonts w:hint="eastAsia" w:ascii="宋体" w:hAnsi="宋体" w:eastAsia="宋体" w:cs="宋体"/>
                <w:sz w:val="21"/>
                <w:szCs w:val="21"/>
              </w:rPr>
              <w:t>：</w:t>
            </w:r>
          </w:p>
          <w:p w14:paraId="75781FB4">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1.检测报告需</w:t>
            </w:r>
            <w:r>
              <w:rPr>
                <w:rFonts w:hint="eastAsia" w:ascii="宋体" w:hAnsi="宋体" w:eastAsia="宋体" w:cs="宋体"/>
                <w:kern w:val="0"/>
                <w:sz w:val="21"/>
                <w:szCs w:val="21"/>
              </w:rPr>
              <w:t>同时提供以下证明材料（有缺项不得分）：</w:t>
            </w:r>
          </w:p>
          <w:p w14:paraId="146388DD">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① 提供2022年1月1日至本项目投标截止日的检测报告（加盖第三方检测机构公章或检测专用章）且结果为合格或符合或</w:t>
            </w:r>
            <w:r>
              <w:rPr>
                <w:rFonts w:hint="eastAsia" w:ascii="宋体" w:hAnsi="宋体" w:eastAsia="宋体" w:cs="宋体"/>
                <w:sz w:val="21"/>
                <w:szCs w:val="21"/>
                <w:lang w:eastAsia="zh-CN"/>
              </w:rPr>
              <w:t>其他同等意义表述</w:t>
            </w:r>
            <w:r>
              <w:rPr>
                <w:rFonts w:hint="eastAsia" w:ascii="宋体" w:hAnsi="宋体" w:eastAsia="宋体" w:cs="宋体"/>
                <w:kern w:val="0"/>
                <w:sz w:val="21"/>
                <w:szCs w:val="21"/>
                <w:lang w:val="en-US" w:eastAsia="zh-CN"/>
              </w:rPr>
              <w:t>，检测报告上需有CMA印章标识或CNAS印章标识；</w:t>
            </w:r>
          </w:p>
          <w:p w14:paraId="19FEF722">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② 提供出具检验报告的第三方检测机构的CMA或CNAS资质证书。</w:t>
            </w:r>
          </w:p>
          <w:p w14:paraId="0DB20B35">
            <w:pPr>
              <w:pStyle w:val="2"/>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以上证明文件均提供复印件或扫描件加盖投标供应商公章，原件备查。未按要求提供有效证明材料或提供不清晰导致评委无法识别的不计得分。</w:t>
            </w:r>
          </w:p>
        </w:tc>
      </w:tr>
      <w:tr w14:paraId="61D0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Borders>
              <w:left w:val="double" w:color="auto" w:sz="4" w:space="0"/>
            </w:tcBorders>
            <w:vAlign w:val="center"/>
          </w:tcPr>
          <w:p w14:paraId="46C872ED">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22E137D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食品安全保险购置情况</w:t>
            </w:r>
          </w:p>
        </w:tc>
        <w:tc>
          <w:tcPr>
            <w:tcW w:w="674" w:type="dxa"/>
            <w:vAlign w:val="center"/>
          </w:tcPr>
          <w:p w14:paraId="46B2A6F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6396" w:type="dxa"/>
            <w:tcBorders>
              <w:right w:val="double" w:color="auto" w:sz="4" w:space="0"/>
            </w:tcBorders>
            <w:vAlign w:val="center"/>
          </w:tcPr>
          <w:p w14:paraId="4CE31DB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E9B659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在本项目投标截止日之前，投标供应商购买了在有效期内的食品安全保险保额：</w:t>
            </w:r>
          </w:p>
          <w:p w14:paraId="5339CC0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① 保额在</w:t>
            </w:r>
            <w:r>
              <w:rPr>
                <w:rFonts w:hint="eastAsia" w:ascii="宋体" w:hAnsi="宋体" w:cs="宋体"/>
                <w:sz w:val="21"/>
                <w:szCs w:val="21"/>
                <w:lang w:val="en-US" w:eastAsia="zh-CN"/>
              </w:rPr>
              <w:t>2</w:t>
            </w:r>
            <w:r>
              <w:rPr>
                <w:rFonts w:hint="eastAsia" w:ascii="宋体" w:hAnsi="宋体" w:eastAsia="宋体" w:cs="宋体"/>
                <w:sz w:val="21"/>
                <w:szCs w:val="21"/>
                <w:lang w:val="en-US"/>
              </w:rPr>
              <w:t>000</w:t>
            </w:r>
            <w:r>
              <w:rPr>
                <w:rFonts w:hint="eastAsia" w:ascii="宋体" w:hAnsi="宋体" w:eastAsia="宋体" w:cs="宋体"/>
                <w:sz w:val="21"/>
                <w:szCs w:val="21"/>
              </w:rPr>
              <w:t>万元（含）以上的得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2648B35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② 保额在</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000</w:t>
            </w:r>
            <w:r>
              <w:rPr>
                <w:rFonts w:hint="eastAsia" w:ascii="宋体" w:hAnsi="宋体" w:eastAsia="宋体" w:cs="宋体"/>
                <w:sz w:val="21"/>
                <w:szCs w:val="21"/>
              </w:rPr>
              <w:t>万元（含）至</w:t>
            </w:r>
            <w:r>
              <w:rPr>
                <w:rFonts w:hint="eastAsia" w:ascii="宋体" w:hAnsi="宋体" w:cs="宋体"/>
                <w:sz w:val="21"/>
                <w:szCs w:val="21"/>
                <w:lang w:val="en-US" w:eastAsia="zh-CN"/>
              </w:rPr>
              <w:t>2</w:t>
            </w:r>
            <w:r>
              <w:rPr>
                <w:rFonts w:hint="eastAsia" w:ascii="宋体" w:hAnsi="宋体" w:eastAsia="宋体" w:cs="宋体"/>
                <w:sz w:val="21"/>
                <w:szCs w:val="21"/>
                <w:lang w:val="en-US"/>
              </w:rPr>
              <w:t>000</w:t>
            </w:r>
            <w:r>
              <w:rPr>
                <w:rFonts w:hint="eastAsia" w:ascii="宋体" w:hAnsi="宋体" w:eastAsia="宋体" w:cs="宋体"/>
                <w:sz w:val="21"/>
                <w:szCs w:val="21"/>
              </w:rPr>
              <w:t>万元（不含）的得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0337060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③ 保额在</w:t>
            </w:r>
            <w:r>
              <w:rPr>
                <w:rFonts w:hint="eastAsia" w:ascii="宋体" w:hAnsi="宋体" w:cs="宋体"/>
                <w:sz w:val="21"/>
                <w:szCs w:val="21"/>
                <w:lang w:val="en-US" w:eastAsia="zh-CN"/>
              </w:rPr>
              <w:t>5</w:t>
            </w:r>
            <w:r>
              <w:rPr>
                <w:rFonts w:hint="eastAsia" w:ascii="宋体" w:hAnsi="宋体" w:eastAsia="宋体" w:cs="宋体"/>
                <w:sz w:val="21"/>
                <w:szCs w:val="21"/>
                <w:lang w:val="en-US"/>
              </w:rPr>
              <w:t>00</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至</w:t>
            </w:r>
            <w:r>
              <w:rPr>
                <w:rFonts w:hint="eastAsia" w:ascii="宋体" w:hAnsi="宋体" w:cs="宋体"/>
                <w:sz w:val="21"/>
                <w:szCs w:val="21"/>
                <w:lang w:val="en-US" w:eastAsia="zh-CN"/>
              </w:rPr>
              <w:t>1</w:t>
            </w:r>
            <w:r>
              <w:rPr>
                <w:rFonts w:hint="eastAsia" w:ascii="宋体" w:hAnsi="宋体" w:eastAsia="宋体" w:cs="宋体"/>
                <w:sz w:val="21"/>
                <w:szCs w:val="21"/>
                <w:lang w:val="en-US"/>
              </w:rPr>
              <w:t>000</w:t>
            </w:r>
            <w:r>
              <w:rPr>
                <w:rFonts w:hint="eastAsia" w:ascii="宋体" w:hAnsi="宋体" w:eastAsia="宋体" w:cs="宋体"/>
                <w:sz w:val="21"/>
                <w:szCs w:val="21"/>
              </w:rPr>
              <w:t>万元（不含）的得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3A04FE2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④</w:t>
            </w:r>
            <w:r>
              <w:rPr>
                <w:rFonts w:hint="eastAsia" w:ascii="宋体" w:hAnsi="宋体" w:eastAsia="宋体" w:cs="宋体"/>
                <w:sz w:val="21"/>
                <w:szCs w:val="21"/>
                <w:lang w:val="en-US" w:eastAsia="zh-CN"/>
              </w:rPr>
              <w:t xml:space="preserve"> 其他情况</w:t>
            </w:r>
            <w:r>
              <w:rPr>
                <w:rFonts w:hint="eastAsia" w:ascii="宋体" w:hAnsi="宋体" w:eastAsia="宋体" w:cs="宋体"/>
                <w:sz w:val="21"/>
                <w:szCs w:val="21"/>
              </w:rPr>
              <w:t>不得分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705FED7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p>
          <w:p w14:paraId="6727893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w:t>
            </w:r>
            <w:r>
              <w:rPr>
                <w:rFonts w:hint="eastAsia" w:ascii="宋体" w:hAnsi="宋体" w:eastAsia="宋体" w:cs="宋体"/>
                <w:sz w:val="21"/>
                <w:szCs w:val="21"/>
                <w:lang w:val="en-US" w:eastAsia="zh-CN"/>
              </w:rPr>
              <w:t>依据</w:t>
            </w:r>
            <w:r>
              <w:rPr>
                <w:rFonts w:hint="eastAsia" w:ascii="宋体" w:hAnsi="宋体" w:eastAsia="宋体" w:cs="宋体"/>
                <w:sz w:val="21"/>
                <w:szCs w:val="21"/>
              </w:rPr>
              <w:t>：</w:t>
            </w:r>
          </w:p>
          <w:p w14:paraId="20249F44">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1.提供有效食品安全保险保单（或保险合同）及购买发票作为评分依据，被保险人需为</w:t>
            </w:r>
            <w:r>
              <w:rPr>
                <w:rFonts w:hint="eastAsia" w:ascii="宋体" w:hAnsi="宋体" w:eastAsia="宋体" w:cs="宋体"/>
                <w:sz w:val="21"/>
                <w:szCs w:val="21"/>
              </w:rPr>
              <w:t>投标供应商</w:t>
            </w:r>
            <w:r>
              <w:rPr>
                <w:rFonts w:hint="eastAsia" w:ascii="宋体" w:hAnsi="宋体" w:eastAsia="宋体" w:cs="宋体"/>
                <w:kern w:val="0"/>
                <w:sz w:val="21"/>
                <w:szCs w:val="21"/>
                <w:lang w:val="en-US" w:eastAsia="zh-CN"/>
              </w:rPr>
              <w:t>；</w:t>
            </w:r>
          </w:p>
          <w:p w14:paraId="03CEC726">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以上证明文件均提供复印件或扫描件加盖投标供应商公章，原件备查。未按要求提供有效证明材料或提供不清晰导致评委无法识别的不计得分。</w:t>
            </w:r>
          </w:p>
        </w:tc>
      </w:tr>
      <w:tr w14:paraId="1E86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Borders>
              <w:left w:val="double" w:color="auto" w:sz="4" w:space="0"/>
            </w:tcBorders>
            <w:vAlign w:val="center"/>
          </w:tcPr>
          <w:p w14:paraId="6ACD91D0">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281E8D1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zh-CN" w:eastAsia="zh-CN"/>
              </w:rPr>
            </w:pPr>
            <w:r>
              <w:rPr>
                <w:rFonts w:hint="eastAsia" w:ascii="宋体" w:hAnsi="宋体" w:eastAsia="宋体" w:cs="宋体"/>
                <w:sz w:val="21"/>
                <w:szCs w:val="21"/>
              </w:rPr>
              <w:t>项目完成（服务期满）后的服务承诺</w:t>
            </w:r>
          </w:p>
        </w:tc>
        <w:tc>
          <w:tcPr>
            <w:tcW w:w="674" w:type="dxa"/>
            <w:vAlign w:val="center"/>
          </w:tcPr>
          <w:p w14:paraId="536C023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396" w:type="dxa"/>
            <w:tcBorders>
              <w:right w:val="double" w:color="auto" w:sz="4" w:space="0"/>
            </w:tcBorders>
            <w:vAlign w:val="center"/>
          </w:tcPr>
          <w:p w14:paraId="5E6436F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AA6D89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投标人提供项目完成（服务期满）后的服务承诺，承诺以下全部内容的得5分，否则不得分。</w:t>
            </w:r>
          </w:p>
          <w:p w14:paraId="04FB983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（1）服务期满，后续供应商未到位前仍按原合同提供配送服务； </w:t>
            </w:r>
          </w:p>
          <w:p w14:paraId="478A63D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（2）其他原因需短期配送服务仍按原合同</w:t>
            </w:r>
            <w:r>
              <w:rPr>
                <w:rFonts w:hint="eastAsia" w:ascii="宋体" w:hAnsi="宋体" w:eastAsia="宋体" w:cs="宋体"/>
                <w:sz w:val="21"/>
                <w:szCs w:val="21"/>
                <w:lang w:val="en-US" w:eastAsia="zh-CN"/>
              </w:rPr>
              <w:t>提供配送</w:t>
            </w:r>
            <w:r>
              <w:rPr>
                <w:rFonts w:hint="eastAsia" w:ascii="宋体" w:hAnsi="宋体" w:eastAsia="宋体" w:cs="宋体"/>
                <w:sz w:val="21"/>
                <w:szCs w:val="21"/>
              </w:rPr>
              <w:t xml:space="preserve">服务。 </w:t>
            </w:r>
          </w:p>
          <w:p w14:paraId="655B7E8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p>
          <w:p w14:paraId="0F6ED0E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w:t>
            </w:r>
            <w:r>
              <w:rPr>
                <w:rFonts w:hint="eastAsia" w:ascii="宋体" w:hAnsi="宋体" w:eastAsia="宋体" w:cs="宋体"/>
                <w:sz w:val="21"/>
                <w:szCs w:val="21"/>
                <w:lang w:val="en-US" w:eastAsia="zh-CN"/>
              </w:rPr>
              <w:t>依据</w:t>
            </w:r>
            <w:r>
              <w:rPr>
                <w:rFonts w:hint="eastAsia" w:ascii="宋体" w:hAnsi="宋体" w:eastAsia="宋体" w:cs="宋体"/>
                <w:sz w:val="21"/>
                <w:szCs w:val="21"/>
              </w:rPr>
              <w:t>：</w:t>
            </w:r>
          </w:p>
          <w:p w14:paraId="5370E022">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提供《项目完成（服务期满）后的服务承诺函》（格式自定）作为评分依据，未提供承诺或承诺内容不满足要求的不得分。</w:t>
            </w:r>
          </w:p>
        </w:tc>
      </w:tr>
      <w:tr w14:paraId="0ABE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Borders>
              <w:left w:val="double" w:color="auto" w:sz="4" w:space="0"/>
            </w:tcBorders>
            <w:vAlign w:val="center"/>
          </w:tcPr>
          <w:p w14:paraId="00CC6905">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376125D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zh-CN" w:eastAsia="zh-CN"/>
              </w:rPr>
            </w:pPr>
            <w:r>
              <w:rPr>
                <w:rFonts w:hint="eastAsia" w:ascii="宋体" w:hAnsi="宋体" w:eastAsia="宋体" w:cs="宋体"/>
                <w:sz w:val="21"/>
                <w:szCs w:val="21"/>
              </w:rPr>
              <w:t>违约承诺</w:t>
            </w:r>
          </w:p>
        </w:tc>
        <w:tc>
          <w:tcPr>
            <w:tcW w:w="674" w:type="dxa"/>
            <w:vAlign w:val="center"/>
          </w:tcPr>
          <w:p w14:paraId="5FD2816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396" w:type="dxa"/>
            <w:tcBorders>
              <w:right w:val="double" w:color="auto" w:sz="4" w:space="0"/>
            </w:tcBorders>
            <w:vAlign w:val="center"/>
          </w:tcPr>
          <w:p w14:paraId="7DD1A2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22DF7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投标人提供违约承诺，承诺以下全部内容的得5分，否则不得分。</w:t>
            </w:r>
          </w:p>
          <w:p w14:paraId="284A014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（1）人员、车辆、配送场地、种植场地、冷库、检测工具设备等严格按照投标</w:t>
            </w:r>
            <w:r>
              <w:rPr>
                <w:rFonts w:hint="eastAsia" w:ascii="宋体" w:hAnsi="宋体" w:eastAsia="宋体" w:cs="宋体"/>
                <w:sz w:val="21"/>
                <w:szCs w:val="21"/>
                <w:lang w:val="en-US" w:eastAsia="zh-CN"/>
              </w:rPr>
              <w:t>文件</w:t>
            </w:r>
            <w:r>
              <w:rPr>
                <w:rFonts w:hint="eastAsia" w:ascii="宋体" w:hAnsi="宋体" w:eastAsia="宋体" w:cs="宋体"/>
                <w:sz w:val="21"/>
                <w:szCs w:val="21"/>
              </w:rPr>
              <w:t xml:space="preserve">配置； </w:t>
            </w:r>
          </w:p>
          <w:p w14:paraId="141B209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（2）服务质量达到</w:t>
            </w:r>
            <w:r>
              <w:rPr>
                <w:rFonts w:hint="eastAsia" w:ascii="宋体" w:hAnsi="宋体" w:eastAsia="宋体" w:cs="宋体"/>
                <w:sz w:val="21"/>
                <w:szCs w:val="21"/>
                <w:lang w:val="en-US" w:eastAsia="zh-CN"/>
              </w:rPr>
              <w:t>征集</w:t>
            </w:r>
            <w:r>
              <w:rPr>
                <w:rFonts w:hint="eastAsia" w:ascii="宋体" w:hAnsi="宋体" w:eastAsia="宋体" w:cs="宋体"/>
                <w:sz w:val="21"/>
                <w:szCs w:val="21"/>
              </w:rPr>
              <w:t>文件要求；</w:t>
            </w:r>
          </w:p>
          <w:p w14:paraId="26BA9E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（3）对未能达到管理要求承担相应管理责任；</w:t>
            </w:r>
          </w:p>
          <w:p w14:paraId="35DE6B4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（4）严格按照定价标准进行履约服务。 </w:t>
            </w:r>
          </w:p>
          <w:p w14:paraId="6EE7414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p>
          <w:p w14:paraId="5404554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w:t>
            </w:r>
            <w:r>
              <w:rPr>
                <w:rFonts w:hint="eastAsia" w:ascii="宋体" w:hAnsi="宋体" w:eastAsia="宋体" w:cs="宋体"/>
                <w:sz w:val="21"/>
                <w:szCs w:val="21"/>
                <w:lang w:val="en-US" w:eastAsia="zh-CN"/>
              </w:rPr>
              <w:t>依据</w:t>
            </w:r>
            <w:r>
              <w:rPr>
                <w:rFonts w:hint="eastAsia" w:ascii="宋体" w:hAnsi="宋体" w:eastAsia="宋体" w:cs="宋体"/>
                <w:sz w:val="21"/>
                <w:szCs w:val="21"/>
              </w:rPr>
              <w:t>：</w:t>
            </w:r>
          </w:p>
          <w:p w14:paraId="17E04F30">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提供《违约承诺函》（格式自定）作为评分依据，未提供承诺或承诺内容不满足要求的不得分。</w:t>
            </w:r>
          </w:p>
        </w:tc>
      </w:tr>
      <w:tr w14:paraId="62EF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restart"/>
            <w:tcBorders>
              <w:left w:val="double" w:color="auto" w:sz="4" w:space="0"/>
            </w:tcBorders>
            <w:vAlign w:val="center"/>
          </w:tcPr>
          <w:p w14:paraId="1C1B6648">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商务部分（S）</w:t>
            </w:r>
          </w:p>
          <w:p w14:paraId="4AE0677E">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43</w:t>
            </w:r>
            <w:r>
              <w:rPr>
                <w:rFonts w:hint="eastAsia" w:ascii="宋体" w:hAnsi="宋体" w:eastAsia="宋体" w:cs="宋体"/>
                <w:b/>
                <w:bCs/>
                <w:snapToGrid w:val="0"/>
                <w:kern w:val="0"/>
                <w:sz w:val="21"/>
                <w:szCs w:val="21"/>
              </w:rPr>
              <w:t>分）</w:t>
            </w:r>
          </w:p>
        </w:tc>
        <w:tc>
          <w:tcPr>
            <w:tcW w:w="1140" w:type="dxa"/>
            <w:vAlign w:val="center"/>
          </w:tcPr>
          <w:p w14:paraId="58F8317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投标人通过相关认证情况</w:t>
            </w:r>
          </w:p>
        </w:tc>
        <w:tc>
          <w:tcPr>
            <w:tcW w:w="674" w:type="dxa"/>
            <w:tcBorders>
              <w:right w:val="single" w:color="auto" w:sz="4" w:space="0"/>
            </w:tcBorders>
            <w:vAlign w:val="center"/>
          </w:tcPr>
          <w:p w14:paraId="55ED4ADB">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5</w:t>
            </w:r>
          </w:p>
        </w:tc>
        <w:tc>
          <w:tcPr>
            <w:tcW w:w="6396" w:type="dxa"/>
            <w:tcBorders>
              <w:left w:val="single" w:color="auto" w:sz="4" w:space="0"/>
              <w:right w:val="double" w:color="auto" w:sz="4" w:space="0"/>
            </w:tcBorders>
            <w:vAlign w:val="center"/>
          </w:tcPr>
          <w:p w14:paraId="6905C8B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9CE395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投标</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具有质量管理体系认证得</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.25</w:t>
            </w:r>
            <w:r>
              <w:rPr>
                <w:rFonts w:hint="eastAsia" w:ascii="宋体" w:hAnsi="宋体" w:eastAsia="宋体" w:cs="宋体"/>
                <w:kern w:val="0"/>
                <w:sz w:val="21"/>
                <w:szCs w:val="21"/>
              </w:rPr>
              <w:t>分；</w:t>
            </w:r>
          </w:p>
          <w:p w14:paraId="07584AD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投标</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具有环境管理体系认证得</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.25</w:t>
            </w:r>
            <w:r>
              <w:rPr>
                <w:rFonts w:hint="eastAsia" w:ascii="宋体" w:hAnsi="宋体" w:eastAsia="宋体" w:cs="宋体"/>
                <w:kern w:val="0"/>
                <w:sz w:val="21"/>
                <w:szCs w:val="21"/>
              </w:rPr>
              <w:t>分；</w:t>
            </w:r>
          </w:p>
          <w:p w14:paraId="44491B6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投标</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具有食品安全管理体系认证得</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.25</w:t>
            </w:r>
            <w:r>
              <w:rPr>
                <w:rFonts w:hint="eastAsia" w:ascii="宋体" w:hAnsi="宋体" w:eastAsia="宋体" w:cs="宋体"/>
                <w:kern w:val="0"/>
                <w:sz w:val="21"/>
                <w:szCs w:val="21"/>
              </w:rPr>
              <w:t>分；</w:t>
            </w:r>
          </w:p>
          <w:p w14:paraId="2A1BA8E0">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投标</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具有职业健康安全管理体系认证得</w:t>
            </w: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.25</w:t>
            </w:r>
            <w:r>
              <w:rPr>
                <w:rFonts w:hint="eastAsia" w:ascii="宋体" w:hAnsi="宋体" w:eastAsia="宋体" w:cs="宋体"/>
                <w:kern w:val="0"/>
                <w:sz w:val="21"/>
                <w:szCs w:val="21"/>
              </w:rPr>
              <w:t>分。</w:t>
            </w:r>
          </w:p>
          <w:p w14:paraId="0E98C204">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注：以上累计最高得5分</w:t>
            </w:r>
            <w:r>
              <w:rPr>
                <w:rFonts w:hint="eastAsia" w:ascii="宋体" w:hAnsi="宋体" w:eastAsia="宋体" w:cs="宋体"/>
                <w:kern w:val="0"/>
                <w:sz w:val="21"/>
                <w:szCs w:val="21"/>
              </w:rPr>
              <w:t>。</w:t>
            </w:r>
          </w:p>
          <w:p w14:paraId="3C8DE7F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p>
          <w:p w14:paraId="551CBEC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AE49F8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1.提供有效认证证书（如认证证书注明年审要求的，必须按规定年审且证书在有效期内的方为有效；如未注明年审要求的，证书必须在有效期内的方为有效）；</w:t>
            </w:r>
          </w:p>
          <w:p w14:paraId="1664815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相关证书在公开渠道无法查询的，投标人需提供颁发部门或者监管机构的证明材料，证明证书真实有效且为合法机构颁发；</w:t>
            </w:r>
          </w:p>
          <w:p w14:paraId="36AA63B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3.如证书由行业协会颁发，需提供该行业协会在“中国社会组织政务服务平台”（网址：https://chinanpo.mca.gov.cn/）查询的已合法登记且状态正常截图，否则不予认可，视为无效证书；</w:t>
            </w:r>
          </w:p>
          <w:p w14:paraId="64B30D6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均提供复印件或扫描件加盖投标供应商公章，原件备查。</w:t>
            </w:r>
            <w:r>
              <w:rPr>
                <w:rFonts w:hint="eastAsia" w:ascii="宋体" w:hAnsi="宋体" w:eastAsia="宋体" w:cs="宋体"/>
                <w:sz w:val="21"/>
                <w:szCs w:val="21"/>
              </w:rPr>
              <w:t>未按要求提供有效证明材料或提供不清晰导致评委无法识别的不计得分。</w:t>
            </w:r>
          </w:p>
        </w:tc>
      </w:tr>
      <w:tr w14:paraId="1DBF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2A6E83DE">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43248BD3">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投标人同类项目业绩情况</w:t>
            </w:r>
          </w:p>
        </w:tc>
        <w:tc>
          <w:tcPr>
            <w:tcW w:w="674" w:type="dxa"/>
            <w:tcBorders>
              <w:right w:val="single" w:color="auto" w:sz="4" w:space="0"/>
            </w:tcBorders>
            <w:vAlign w:val="center"/>
          </w:tcPr>
          <w:p w14:paraId="6DB923D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396" w:type="dxa"/>
            <w:tcBorders>
              <w:left w:val="single" w:color="auto" w:sz="4" w:space="0"/>
              <w:right w:val="double" w:color="auto" w:sz="4" w:space="0"/>
            </w:tcBorders>
            <w:vAlign w:val="center"/>
          </w:tcPr>
          <w:p w14:paraId="5F5D22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4C9D244">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年1月1日至</w:t>
            </w:r>
            <w:r>
              <w:rPr>
                <w:rFonts w:hint="eastAsia" w:ascii="宋体" w:hAnsi="宋体" w:eastAsia="宋体" w:cs="宋体"/>
                <w:kern w:val="0"/>
                <w:sz w:val="21"/>
                <w:szCs w:val="21"/>
                <w:lang w:val="en-US" w:eastAsia="zh-CN"/>
              </w:rPr>
              <w:t>本项目</w:t>
            </w:r>
            <w:r>
              <w:rPr>
                <w:rFonts w:hint="eastAsia" w:ascii="宋体" w:hAnsi="宋体" w:eastAsia="宋体" w:cs="宋体"/>
                <w:kern w:val="0"/>
                <w:sz w:val="21"/>
                <w:szCs w:val="21"/>
              </w:rPr>
              <w:t>投标截止日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以合同签订日期为准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投标供应商</w:t>
            </w:r>
            <w:r>
              <w:rPr>
                <w:rFonts w:hint="eastAsia" w:ascii="宋体" w:hAnsi="宋体" w:eastAsia="宋体" w:cs="宋体"/>
                <w:kern w:val="0"/>
                <w:sz w:val="21"/>
                <w:szCs w:val="21"/>
              </w:rPr>
              <w:t>具有同类项目配送经验</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以投标</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名义独立承担的食材配送服务业绩</w:t>
            </w:r>
            <w:r>
              <w:rPr>
                <w:rFonts w:hint="eastAsia" w:ascii="宋体" w:hAnsi="宋体" w:eastAsia="宋体" w:cs="宋体"/>
                <w:kern w:val="0"/>
                <w:sz w:val="21"/>
                <w:szCs w:val="21"/>
                <w:lang w:eastAsia="zh-CN"/>
              </w:rPr>
              <w:t>）</w:t>
            </w:r>
            <w:r>
              <w:rPr>
                <w:rFonts w:hint="eastAsia" w:ascii="宋体" w:hAnsi="宋体" w:eastAsia="宋体" w:cs="宋体"/>
                <w:sz w:val="21"/>
                <w:szCs w:val="21"/>
              </w:rPr>
              <w:t>且获得采购单位</w:t>
            </w:r>
            <w:r>
              <w:rPr>
                <w:rFonts w:hint="eastAsia" w:ascii="宋体" w:hAnsi="宋体" w:eastAsia="宋体" w:cs="宋体"/>
                <w:sz w:val="21"/>
                <w:szCs w:val="21"/>
                <w:lang w:eastAsia="zh-CN"/>
              </w:rPr>
              <w:t>（</w:t>
            </w:r>
            <w:r>
              <w:rPr>
                <w:rFonts w:hint="eastAsia" w:ascii="宋体" w:hAnsi="宋体" w:eastAsia="宋体" w:cs="宋体"/>
                <w:sz w:val="21"/>
                <w:szCs w:val="21"/>
              </w:rPr>
              <w:t>或被服务单位</w:t>
            </w:r>
            <w:r>
              <w:rPr>
                <w:rFonts w:hint="eastAsia" w:ascii="宋体" w:hAnsi="宋体" w:eastAsia="宋体" w:cs="宋体"/>
                <w:sz w:val="21"/>
                <w:szCs w:val="21"/>
                <w:lang w:eastAsia="zh-CN"/>
              </w:rPr>
              <w:t>）</w:t>
            </w:r>
            <w:r>
              <w:rPr>
                <w:rFonts w:hint="eastAsia" w:ascii="宋体" w:hAnsi="宋体" w:eastAsia="宋体" w:cs="宋体"/>
                <w:sz w:val="21"/>
                <w:szCs w:val="21"/>
              </w:rPr>
              <w:t>履约评价</w:t>
            </w:r>
            <w:r>
              <w:rPr>
                <w:rFonts w:hint="eastAsia" w:ascii="宋体" w:hAnsi="宋体" w:eastAsia="宋体" w:cs="宋体"/>
                <w:sz w:val="21"/>
                <w:szCs w:val="21"/>
                <w:lang w:eastAsia="zh-CN"/>
              </w:rPr>
              <w:t>（</w:t>
            </w:r>
            <w:r>
              <w:rPr>
                <w:rFonts w:hint="eastAsia" w:ascii="宋体" w:hAnsi="宋体" w:eastAsia="宋体" w:cs="宋体"/>
                <w:sz w:val="21"/>
                <w:szCs w:val="21"/>
              </w:rPr>
              <w:t>结果为“优”或“优秀”或评价表中其他最高等级评价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或验收证明（</w:t>
            </w:r>
            <w:r>
              <w:rPr>
                <w:rFonts w:hint="eastAsia" w:ascii="宋体" w:hAnsi="宋体" w:eastAsia="宋体" w:cs="宋体"/>
                <w:sz w:val="21"/>
                <w:szCs w:val="21"/>
              </w:rPr>
              <w:t>结果为“</w:t>
            </w:r>
            <w:r>
              <w:rPr>
                <w:rFonts w:hint="eastAsia" w:ascii="宋体" w:hAnsi="宋体" w:eastAsia="宋体" w:cs="宋体"/>
                <w:sz w:val="21"/>
                <w:szCs w:val="21"/>
                <w:lang w:val="en-US" w:eastAsia="zh-CN"/>
              </w:rPr>
              <w:t>合格</w:t>
            </w:r>
            <w:r>
              <w:rPr>
                <w:rFonts w:hint="eastAsia" w:ascii="宋体" w:hAnsi="宋体" w:eastAsia="宋体" w:cs="宋体"/>
                <w:sz w:val="21"/>
                <w:szCs w:val="21"/>
              </w:rPr>
              <w:t>”或“</w:t>
            </w:r>
            <w:r>
              <w:rPr>
                <w:rFonts w:hint="eastAsia" w:ascii="宋体" w:hAnsi="宋体" w:eastAsia="宋体" w:cs="宋体"/>
                <w:sz w:val="21"/>
                <w:szCs w:val="21"/>
                <w:lang w:val="en-US" w:eastAsia="zh-CN"/>
              </w:rPr>
              <w:t>通过</w:t>
            </w:r>
            <w:r>
              <w:rPr>
                <w:rFonts w:hint="eastAsia" w:ascii="宋体" w:hAnsi="宋体" w:eastAsia="宋体" w:cs="宋体"/>
                <w:sz w:val="21"/>
                <w:szCs w:val="21"/>
              </w:rPr>
              <w:t>”</w:t>
            </w:r>
            <w:r>
              <w:rPr>
                <w:rFonts w:hint="eastAsia" w:ascii="宋体" w:hAnsi="宋体" w:eastAsia="宋体" w:cs="宋体"/>
                <w:sz w:val="21"/>
                <w:szCs w:val="21"/>
                <w:lang w:val="en-US" w:eastAsia="zh-CN"/>
              </w:rPr>
              <w:t>或“</w:t>
            </w:r>
            <w:r>
              <w:rPr>
                <w:rFonts w:hint="eastAsia" w:ascii="宋体" w:hAnsi="宋体" w:eastAsia="宋体" w:cs="宋体"/>
                <w:sz w:val="21"/>
                <w:szCs w:val="21"/>
                <w:lang w:eastAsia="zh-CN"/>
              </w:rPr>
              <w:t>其他同等意义表述</w:t>
            </w:r>
            <w:r>
              <w:rPr>
                <w:rFonts w:hint="eastAsia" w:ascii="宋体" w:hAnsi="宋体" w:eastAsia="宋体" w:cs="宋体"/>
                <w:sz w:val="21"/>
                <w:szCs w:val="21"/>
                <w:lang w:val="en-US" w:eastAsia="zh-CN"/>
              </w:rPr>
              <w:t>”）的</w:t>
            </w:r>
            <w:r>
              <w:rPr>
                <w:rFonts w:hint="eastAsia" w:ascii="宋体" w:hAnsi="宋体" w:eastAsia="宋体" w:cs="宋体"/>
                <w:kern w:val="0"/>
                <w:sz w:val="21"/>
                <w:szCs w:val="21"/>
              </w:rPr>
              <w:t>，每提供一个</w:t>
            </w:r>
            <w:r>
              <w:rPr>
                <w:rFonts w:hint="eastAsia" w:ascii="宋体" w:hAnsi="宋体" w:eastAsia="宋体" w:cs="宋体"/>
                <w:kern w:val="0"/>
                <w:sz w:val="21"/>
                <w:szCs w:val="21"/>
                <w:lang w:val="en-US" w:eastAsia="zh-CN"/>
              </w:rPr>
              <w:t>项目</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1.7</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最高得5分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同一项目连续续签不重复计分。</w:t>
            </w:r>
          </w:p>
          <w:p w14:paraId="62FF7714">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p>
          <w:p w14:paraId="74B8DE6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280812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1.项目业绩</w:t>
            </w:r>
            <w:r>
              <w:rPr>
                <w:rFonts w:hint="eastAsia" w:ascii="宋体" w:hAnsi="宋体" w:eastAsia="宋体" w:cs="宋体"/>
                <w:sz w:val="21"/>
                <w:szCs w:val="21"/>
                <w:lang w:val="en-US" w:eastAsia="zh-CN"/>
              </w:rPr>
              <w:t>需</w:t>
            </w:r>
            <w:r>
              <w:rPr>
                <w:rFonts w:hint="eastAsia" w:ascii="宋体" w:hAnsi="宋体" w:eastAsia="宋体" w:cs="宋体"/>
                <w:sz w:val="21"/>
                <w:szCs w:val="21"/>
              </w:rPr>
              <w:t>同时提供以下证明材料（有缺项不得分）：</w:t>
            </w:r>
          </w:p>
          <w:p w14:paraId="0C7763A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合同关键页（关键信息包括但不仅限于合同的项目名称、服务内容、合同服务的起止时间、签订日期</w:t>
            </w:r>
            <w:r>
              <w:rPr>
                <w:rFonts w:hint="eastAsia" w:ascii="宋体" w:hAnsi="宋体" w:eastAsia="宋体" w:cs="宋体"/>
                <w:sz w:val="21"/>
                <w:szCs w:val="21"/>
                <w:lang w:eastAsia="zh-CN"/>
              </w:rPr>
              <w:t>、</w:t>
            </w:r>
            <w:r>
              <w:rPr>
                <w:rFonts w:hint="eastAsia" w:ascii="宋体" w:hAnsi="宋体" w:eastAsia="宋体" w:cs="宋体"/>
                <w:sz w:val="21"/>
                <w:szCs w:val="21"/>
              </w:rPr>
              <w:t>甲乙双方签字盖章页</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14:paraId="2CF14B9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履约评价</w:t>
            </w:r>
            <w:r>
              <w:rPr>
                <w:rFonts w:hint="eastAsia" w:ascii="宋体" w:hAnsi="宋体" w:eastAsia="宋体" w:cs="宋体"/>
                <w:sz w:val="21"/>
                <w:szCs w:val="21"/>
                <w:lang w:val="en-US" w:eastAsia="zh-CN"/>
              </w:rPr>
              <w:t>或验收证明</w:t>
            </w:r>
            <w:r>
              <w:rPr>
                <w:rFonts w:hint="eastAsia" w:ascii="宋体" w:hAnsi="宋体" w:eastAsia="宋体" w:cs="宋体"/>
                <w:sz w:val="21"/>
                <w:szCs w:val="21"/>
              </w:rPr>
              <w:t>文件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提供以下其中一个即可</w:t>
            </w:r>
            <w:r>
              <w:rPr>
                <w:rFonts w:hint="eastAsia" w:ascii="宋体" w:hAnsi="宋体" w:eastAsia="宋体" w:cs="宋体"/>
                <w:sz w:val="21"/>
                <w:szCs w:val="21"/>
                <w:lang w:eastAsia="zh-CN"/>
              </w:rPr>
              <w:t>）</w:t>
            </w:r>
            <w:r>
              <w:rPr>
                <w:rFonts w:hint="eastAsia" w:ascii="宋体" w:hAnsi="宋体" w:eastAsia="宋体" w:cs="宋体"/>
                <w:sz w:val="21"/>
                <w:szCs w:val="21"/>
              </w:rPr>
              <w:t>：</w:t>
            </w:r>
          </w:p>
          <w:p w14:paraId="35EF45F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采购单位或被服务单位出具的履约评价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结果为</w:t>
            </w:r>
            <w:r>
              <w:rPr>
                <w:rFonts w:hint="eastAsia" w:ascii="宋体" w:hAnsi="宋体" w:eastAsia="宋体" w:cs="宋体"/>
                <w:sz w:val="21"/>
                <w:szCs w:val="21"/>
              </w:rPr>
              <w:t>“优”或“优秀”或评价表中其他最高等级评价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文件，</w:t>
            </w:r>
            <w:r>
              <w:rPr>
                <w:rFonts w:hint="eastAsia" w:ascii="宋体" w:hAnsi="宋体" w:eastAsia="宋体" w:cs="宋体"/>
                <w:sz w:val="21"/>
                <w:szCs w:val="21"/>
              </w:rPr>
              <w:t>相关证明文件</w:t>
            </w:r>
            <w:r>
              <w:rPr>
                <w:rFonts w:hint="eastAsia" w:ascii="宋体" w:hAnsi="宋体" w:eastAsia="宋体" w:cs="宋体"/>
                <w:sz w:val="21"/>
                <w:szCs w:val="21"/>
                <w:lang w:val="en-US" w:eastAsia="zh-CN"/>
              </w:rPr>
              <w:t>需</w:t>
            </w:r>
            <w:r>
              <w:rPr>
                <w:rFonts w:hint="eastAsia" w:ascii="宋体" w:hAnsi="宋体" w:eastAsia="宋体" w:cs="宋体"/>
                <w:sz w:val="21"/>
                <w:szCs w:val="21"/>
              </w:rPr>
              <w:t>加盖合同甲方公章（或甲方业务章）</w:t>
            </w:r>
            <w:r>
              <w:rPr>
                <w:rFonts w:hint="eastAsia" w:ascii="宋体" w:hAnsi="宋体" w:eastAsia="宋体" w:cs="宋体"/>
                <w:sz w:val="21"/>
                <w:szCs w:val="21"/>
                <w:lang w:eastAsia="zh-CN"/>
              </w:rPr>
              <w:t>；</w:t>
            </w:r>
          </w:p>
          <w:p w14:paraId="5636098B">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采购单位或被服务单位出具的</w:t>
            </w:r>
            <w:r>
              <w:rPr>
                <w:rFonts w:hint="eastAsia" w:ascii="宋体" w:hAnsi="宋体" w:eastAsia="宋体" w:cs="宋体"/>
                <w:sz w:val="21"/>
                <w:szCs w:val="21"/>
                <w:lang w:val="en-US" w:eastAsia="zh-CN"/>
              </w:rPr>
              <w:t>验收证明（</w:t>
            </w:r>
            <w:r>
              <w:rPr>
                <w:rFonts w:hint="eastAsia" w:ascii="宋体" w:hAnsi="宋体" w:eastAsia="宋体" w:cs="宋体"/>
                <w:sz w:val="21"/>
                <w:szCs w:val="21"/>
              </w:rPr>
              <w:t>结果为“</w:t>
            </w:r>
            <w:r>
              <w:rPr>
                <w:rFonts w:hint="eastAsia" w:ascii="宋体" w:hAnsi="宋体" w:eastAsia="宋体" w:cs="宋体"/>
                <w:sz w:val="21"/>
                <w:szCs w:val="21"/>
                <w:lang w:val="en-US" w:eastAsia="zh-CN"/>
              </w:rPr>
              <w:t>合格</w:t>
            </w:r>
            <w:r>
              <w:rPr>
                <w:rFonts w:hint="eastAsia" w:ascii="宋体" w:hAnsi="宋体" w:eastAsia="宋体" w:cs="宋体"/>
                <w:sz w:val="21"/>
                <w:szCs w:val="21"/>
              </w:rPr>
              <w:t>”或“</w:t>
            </w:r>
            <w:r>
              <w:rPr>
                <w:rFonts w:hint="eastAsia" w:ascii="宋体" w:hAnsi="宋体" w:eastAsia="宋体" w:cs="宋体"/>
                <w:sz w:val="21"/>
                <w:szCs w:val="21"/>
                <w:lang w:val="en-US" w:eastAsia="zh-CN"/>
              </w:rPr>
              <w:t>通过</w:t>
            </w:r>
            <w:r>
              <w:rPr>
                <w:rFonts w:hint="eastAsia" w:ascii="宋体" w:hAnsi="宋体" w:eastAsia="宋体" w:cs="宋体"/>
                <w:sz w:val="21"/>
                <w:szCs w:val="21"/>
              </w:rPr>
              <w:t>”</w:t>
            </w:r>
            <w:r>
              <w:rPr>
                <w:rFonts w:hint="eastAsia" w:ascii="宋体" w:hAnsi="宋体" w:eastAsia="宋体" w:cs="宋体"/>
                <w:sz w:val="21"/>
                <w:szCs w:val="21"/>
                <w:lang w:val="en-US" w:eastAsia="zh-CN"/>
              </w:rPr>
              <w:t>或“</w:t>
            </w:r>
            <w:r>
              <w:rPr>
                <w:rFonts w:hint="eastAsia" w:ascii="宋体" w:hAnsi="宋体" w:eastAsia="宋体" w:cs="宋体"/>
                <w:sz w:val="21"/>
                <w:szCs w:val="21"/>
                <w:lang w:eastAsia="zh-CN"/>
              </w:rPr>
              <w:t>其他同等意义表述</w:t>
            </w:r>
            <w:r>
              <w:rPr>
                <w:rFonts w:hint="eastAsia" w:ascii="宋体" w:hAnsi="宋体" w:eastAsia="宋体" w:cs="宋体"/>
                <w:sz w:val="21"/>
                <w:szCs w:val="21"/>
                <w:lang w:val="en-US" w:eastAsia="zh-CN"/>
              </w:rPr>
              <w:t>”）文件，</w:t>
            </w:r>
            <w:r>
              <w:rPr>
                <w:rFonts w:hint="eastAsia" w:ascii="宋体" w:hAnsi="宋体" w:eastAsia="宋体" w:cs="宋体"/>
                <w:sz w:val="21"/>
                <w:szCs w:val="21"/>
              </w:rPr>
              <w:t>相关证明文件</w:t>
            </w:r>
            <w:r>
              <w:rPr>
                <w:rFonts w:hint="eastAsia" w:ascii="宋体" w:hAnsi="宋体" w:eastAsia="宋体" w:cs="宋体"/>
                <w:sz w:val="21"/>
                <w:szCs w:val="21"/>
                <w:lang w:val="en-US" w:eastAsia="zh-CN"/>
              </w:rPr>
              <w:t>需</w:t>
            </w:r>
            <w:r>
              <w:rPr>
                <w:rFonts w:hint="eastAsia" w:ascii="宋体" w:hAnsi="宋体" w:eastAsia="宋体" w:cs="宋体"/>
                <w:sz w:val="21"/>
                <w:szCs w:val="21"/>
              </w:rPr>
              <w:t>加盖合同甲方公章（或甲方业务章）</w:t>
            </w:r>
            <w:r>
              <w:rPr>
                <w:rFonts w:hint="eastAsia" w:ascii="宋体" w:hAnsi="宋体" w:eastAsia="宋体" w:cs="宋体"/>
                <w:sz w:val="21"/>
                <w:szCs w:val="21"/>
                <w:lang w:eastAsia="zh-CN"/>
              </w:rPr>
              <w:t>。</w:t>
            </w:r>
          </w:p>
          <w:p w14:paraId="579B74A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2.通过合同关键信息无法判断是否得分的，还需提供能证明得分的其它证明资料，如项目报告或合同甲方出具的证明文件；</w:t>
            </w:r>
          </w:p>
          <w:p w14:paraId="0666E43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均提供复印件或扫描件加盖投标供应商公章，原件备查。</w:t>
            </w:r>
            <w:r>
              <w:rPr>
                <w:rFonts w:hint="eastAsia" w:ascii="宋体" w:hAnsi="宋体" w:eastAsia="宋体" w:cs="宋体"/>
                <w:sz w:val="21"/>
                <w:szCs w:val="21"/>
              </w:rPr>
              <w:t>未按要求提供有效证明材料或提供不清晰导致评委无法识别的不计得分。</w:t>
            </w:r>
          </w:p>
        </w:tc>
      </w:tr>
      <w:tr w14:paraId="2F7A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4933D99E">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05B7C00D">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拟安排的项目负责人情况（仅限</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人）</w:t>
            </w:r>
          </w:p>
        </w:tc>
        <w:tc>
          <w:tcPr>
            <w:tcW w:w="674" w:type="dxa"/>
            <w:tcBorders>
              <w:right w:val="single" w:color="auto" w:sz="4" w:space="0"/>
            </w:tcBorders>
            <w:vAlign w:val="center"/>
          </w:tcPr>
          <w:p w14:paraId="6C8101E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396" w:type="dxa"/>
            <w:tcBorders>
              <w:left w:val="single" w:color="auto" w:sz="4" w:space="0"/>
              <w:right w:val="double" w:color="auto" w:sz="4" w:space="0"/>
            </w:tcBorders>
            <w:vAlign w:val="center"/>
          </w:tcPr>
          <w:p w14:paraId="22643E1F">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5F5D25D">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拟安排的项目负责人(仅限1人）需为投标</w:t>
            </w:r>
            <w:r>
              <w:rPr>
                <w:rFonts w:hint="eastAsia" w:ascii="宋体" w:hAnsi="宋体" w:eastAsia="宋体" w:cs="宋体"/>
                <w:sz w:val="21"/>
                <w:szCs w:val="21"/>
                <w:lang w:val="en-US" w:eastAsia="zh-CN"/>
              </w:rPr>
              <w:t>供应商</w:t>
            </w:r>
            <w:r>
              <w:rPr>
                <w:rFonts w:hint="eastAsia" w:ascii="宋体" w:hAnsi="宋体" w:eastAsia="宋体" w:cs="宋体"/>
                <w:sz w:val="21"/>
                <w:szCs w:val="21"/>
              </w:rPr>
              <w:t>正式聘任员工，否则本项不得分。在此基础上，按以下标准评分：</w:t>
            </w:r>
          </w:p>
          <w:p w14:paraId="64C82A00">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（1）具有食品药品监督管理部门或市场监督管理部门颁发的高级食品安全管理员证书</w:t>
            </w:r>
            <w:r>
              <w:rPr>
                <w:rFonts w:hint="eastAsia" w:ascii="宋体" w:hAnsi="宋体" w:eastAsia="宋体" w:cs="宋体"/>
                <w:sz w:val="21"/>
                <w:szCs w:val="21"/>
                <w:lang w:val="en-US" w:eastAsia="zh-CN"/>
              </w:rPr>
              <w:t>（或同等级的食品安全管理员考试合格证明）</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分；具有食品药品监督管理部门或市场监督管理部门颁发的</w:t>
            </w:r>
            <w:r>
              <w:rPr>
                <w:rFonts w:hint="eastAsia" w:ascii="宋体" w:hAnsi="宋体" w:eastAsia="宋体" w:cs="宋体"/>
                <w:sz w:val="21"/>
                <w:szCs w:val="21"/>
                <w:lang w:val="en-US" w:eastAsia="zh-CN"/>
              </w:rPr>
              <w:t>中级</w:t>
            </w:r>
            <w:r>
              <w:rPr>
                <w:rFonts w:hint="eastAsia" w:ascii="宋体" w:hAnsi="宋体" w:eastAsia="宋体" w:cs="宋体"/>
                <w:sz w:val="21"/>
                <w:szCs w:val="21"/>
              </w:rPr>
              <w:t>食品安全管理员证书</w:t>
            </w:r>
            <w:r>
              <w:rPr>
                <w:rFonts w:hint="eastAsia" w:ascii="宋体" w:hAnsi="宋体" w:eastAsia="宋体" w:cs="宋体"/>
                <w:sz w:val="21"/>
                <w:szCs w:val="21"/>
                <w:lang w:val="en-US" w:eastAsia="zh-CN"/>
              </w:rPr>
              <w:t>（或同等级的食品安全管理员考试合格证明）</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此项最高得3分。</w:t>
            </w:r>
          </w:p>
          <w:p w14:paraId="6BD210DD">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（2）具有食品检测类相关的</w:t>
            </w:r>
            <w:r>
              <w:rPr>
                <w:rFonts w:hint="eastAsia" w:ascii="宋体" w:hAnsi="宋体" w:eastAsia="宋体" w:cs="宋体"/>
                <w:sz w:val="21"/>
                <w:szCs w:val="21"/>
                <w:lang w:val="en-US" w:eastAsia="zh-CN"/>
              </w:rPr>
              <w:t>职业</w:t>
            </w:r>
            <w:r>
              <w:rPr>
                <w:rFonts w:hint="eastAsia" w:ascii="宋体" w:hAnsi="宋体" w:eastAsia="宋体" w:cs="宋体"/>
                <w:sz w:val="21"/>
                <w:szCs w:val="21"/>
              </w:rPr>
              <w:t>资格（或技能等级）证书（三级</w:t>
            </w:r>
            <w:r>
              <w:rPr>
                <w:rFonts w:hint="eastAsia" w:ascii="宋体" w:hAnsi="宋体" w:eastAsia="宋体" w:cs="宋体"/>
                <w:sz w:val="21"/>
                <w:szCs w:val="21"/>
                <w:lang w:val="en-US" w:eastAsia="zh-CN"/>
              </w:rPr>
              <w:t>或</w:t>
            </w:r>
            <w:r>
              <w:rPr>
                <w:rFonts w:hint="eastAsia" w:ascii="宋体" w:hAnsi="宋体" w:eastAsia="宋体" w:cs="宋体"/>
                <w:sz w:val="21"/>
                <w:szCs w:val="21"/>
              </w:rPr>
              <w:t>以上/高级</w:t>
            </w:r>
            <w:r>
              <w:rPr>
                <w:rFonts w:hint="eastAsia" w:ascii="宋体" w:hAnsi="宋体" w:eastAsia="宋体" w:cs="宋体"/>
                <w:sz w:val="21"/>
                <w:szCs w:val="21"/>
                <w:lang w:val="en-US" w:eastAsia="zh-CN"/>
              </w:rPr>
              <w:t>或</w:t>
            </w:r>
            <w:r>
              <w:rPr>
                <w:rFonts w:hint="eastAsia" w:ascii="宋体" w:hAnsi="宋体" w:eastAsia="宋体" w:cs="宋体"/>
                <w:sz w:val="21"/>
                <w:szCs w:val="21"/>
              </w:rPr>
              <w:t>以上）</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099A5059">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（3）具有本科或以上学历</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30E5A52E">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14:paraId="48B3BC19">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23DDE8AD">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1.提供项目负责人通过投标单位缴纳的载有社保部门或税务部门公章的近三个月</w:t>
            </w:r>
            <w:r>
              <w:rPr>
                <w:rFonts w:hint="eastAsia" w:ascii="宋体" w:hAnsi="宋体" w:cs="宋体"/>
                <w:sz w:val="21"/>
                <w:szCs w:val="21"/>
                <w:lang w:eastAsia="zh-CN"/>
              </w:rPr>
              <w:t>（</w:t>
            </w:r>
            <w:r>
              <w:rPr>
                <w:rFonts w:hint="eastAsia" w:ascii="宋体" w:hAnsi="宋体" w:cs="宋体"/>
                <w:sz w:val="21"/>
                <w:szCs w:val="21"/>
                <w:lang w:val="en-US" w:eastAsia="zh-CN"/>
              </w:rPr>
              <w:t>2024年7月-2024年9月</w:t>
            </w:r>
            <w:r>
              <w:rPr>
                <w:rFonts w:hint="eastAsia" w:ascii="宋体" w:hAnsi="宋体" w:cs="宋体"/>
                <w:sz w:val="21"/>
                <w:szCs w:val="21"/>
                <w:lang w:eastAsia="zh-CN"/>
              </w:rPr>
              <w:t>）</w:t>
            </w:r>
            <w:r>
              <w:rPr>
                <w:rFonts w:hint="eastAsia" w:ascii="宋体" w:hAnsi="宋体" w:eastAsia="宋体" w:cs="宋体"/>
                <w:sz w:val="21"/>
                <w:szCs w:val="21"/>
              </w:rPr>
              <w:t>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25E2584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2.提供上述</w:t>
            </w:r>
            <w:r>
              <w:rPr>
                <w:rFonts w:hint="eastAsia" w:ascii="宋体" w:hAnsi="宋体" w:eastAsia="宋体" w:cs="宋体"/>
                <w:sz w:val="21"/>
                <w:szCs w:val="21"/>
                <w:lang w:val="en-US" w:eastAsia="zh-CN"/>
              </w:rPr>
              <w:t>相关证书作为评分依据：</w:t>
            </w:r>
          </w:p>
          <w:p w14:paraId="3854799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食品安全管理员证书</w:t>
            </w:r>
            <w:r>
              <w:rPr>
                <w:rFonts w:hint="eastAsia" w:ascii="宋体" w:hAnsi="宋体" w:eastAsia="宋体" w:cs="宋体"/>
                <w:sz w:val="21"/>
                <w:szCs w:val="21"/>
                <w:lang w:val="en-US" w:eastAsia="zh-CN"/>
              </w:rPr>
              <w:t>（或食品安全管理员考试合格证明）</w:t>
            </w:r>
            <w:r>
              <w:rPr>
                <w:rFonts w:hint="eastAsia" w:ascii="宋体" w:hAnsi="宋体" w:eastAsia="宋体" w:cs="宋体"/>
                <w:sz w:val="21"/>
                <w:szCs w:val="21"/>
                <w:lang w:eastAsia="zh-CN"/>
              </w:rPr>
              <w:t>；</w:t>
            </w:r>
          </w:p>
          <w:p w14:paraId="36802028">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食品检测类相关的资格（或技能等级）证书</w:t>
            </w:r>
            <w:r>
              <w:rPr>
                <w:rFonts w:hint="eastAsia" w:ascii="宋体" w:hAnsi="宋体" w:eastAsia="宋体" w:cs="宋体"/>
                <w:sz w:val="21"/>
                <w:szCs w:val="21"/>
                <w:lang w:val="en-US" w:eastAsia="zh-CN"/>
              </w:rPr>
              <w:t>以及</w:t>
            </w:r>
            <w:r>
              <w:rPr>
                <w:rFonts w:hint="eastAsia" w:ascii="宋体" w:hAnsi="宋体" w:eastAsia="宋体" w:cs="宋体"/>
                <w:sz w:val="21"/>
                <w:szCs w:val="21"/>
              </w:rPr>
              <w:t>技能人才评价证书全国联网（网址http://zscx.osta.org.cn/）查询截图</w:t>
            </w:r>
            <w:r>
              <w:rPr>
                <w:rFonts w:hint="eastAsia" w:ascii="宋体" w:hAnsi="宋体" w:eastAsia="宋体" w:cs="宋体"/>
                <w:sz w:val="21"/>
                <w:szCs w:val="21"/>
                <w:lang w:eastAsia="zh-CN"/>
              </w:rPr>
              <w:t>，</w:t>
            </w:r>
          </w:p>
          <w:p w14:paraId="2C543AE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毕业证书以及学信网查询记录，对于学信网无法查询的，还需提供毕业院校或人社部门或教育部门等颁发机构或监管机构出具的证明，否则无效</w:t>
            </w:r>
            <w:r>
              <w:rPr>
                <w:rFonts w:hint="eastAsia" w:ascii="宋体" w:hAnsi="宋体" w:eastAsia="宋体" w:cs="宋体"/>
                <w:sz w:val="21"/>
                <w:szCs w:val="21"/>
                <w:lang w:eastAsia="zh-CN"/>
              </w:rPr>
              <w:t>。</w:t>
            </w:r>
          </w:p>
          <w:p w14:paraId="0C81CF32">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均提供复印件或扫描件加盖投标供应商公章，原件备查。</w:t>
            </w:r>
            <w:r>
              <w:rPr>
                <w:rFonts w:hint="eastAsia" w:ascii="宋体" w:hAnsi="宋体" w:eastAsia="宋体" w:cs="宋体"/>
                <w:sz w:val="21"/>
                <w:szCs w:val="21"/>
              </w:rPr>
              <w:t>未按要求提供有效证明材料或提供不清晰导致评委无法识别的不计得分。</w:t>
            </w:r>
          </w:p>
        </w:tc>
      </w:tr>
      <w:tr w14:paraId="2366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57A86B60">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0116E560">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拟安排的项目主要团队成员（主要技术人员）情况（项目负责人除外）</w:t>
            </w:r>
          </w:p>
        </w:tc>
        <w:tc>
          <w:tcPr>
            <w:tcW w:w="674" w:type="dxa"/>
            <w:tcBorders>
              <w:right w:val="single" w:color="auto" w:sz="4" w:space="0"/>
            </w:tcBorders>
            <w:vAlign w:val="center"/>
          </w:tcPr>
          <w:p w14:paraId="06E3A37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6396" w:type="dxa"/>
            <w:tcBorders>
              <w:left w:val="single" w:color="auto" w:sz="4" w:space="0"/>
              <w:right w:val="double" w:color="auto" w:sz="4" w:space="0"/>
            </w:tcBorders>
            <w:vAlign w:val="center"/>
          </w:tcPr>
          <w:p w14:paraId="2D44E77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1FC9C4A">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w:t>
            </w:r>
            <w:r>
              <w:rPr>
                <w:rFonts w:hint="eastAsia" w:ascii="宋体" w:hAnsi="宋体" w:eastAsia="宋体" w:cs="宋体"/>
                <w:sz w:val="21"/>
                <w:szCs w:val="21"/>
                <w:lang w:val="en-US" w:eastAsia="zh-CN"/>
              </w:rPr>
              <w:t>供应商</w:t>
            </w:r>
            <w:r>
              <w:rPr>
                <w:rFonts w:hint="eastAsia" w:ascii="宋体" w:hAnsi="宋体" w:eastAsia="宋体" w:cs="宋体"/>
                <w:sz w:val="21"/>
                <w:szCs w:val="21"/>
              </w:rPr>
              <w:t>正式聘任员工，否则本项不得分。在此基础上，按以下标准评分：</w:t>
            </w:r>
          </w:p>
          <w:p w14:paraId="57EBE7D2">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项目团队成员具有食品药品监督管理部门或市场监督管理部门颁发的食品安全管理员考核合格</w:t>
            </w:r>
            <w:r>
              <w:rPr>
                <w:rFonts w:hint="eastAsia" w:ascii="宋体" w:hAnsi="宋体" w:eastAsia="宋体" w:cs="宋体"/>
                <w:sz w:val="21"/>
                <w:szCs w:val="21"/>
                <w:lang w:val="en-US" w:eastAsia="zh-CN"/>
              </w:rPr>
              <w:t>证明（或</w:t>
            </w:r>
            <w:r>
              <w:rPr>
                <w:rFonts w:hint="eastAsia" w:ascii="宋体" w:hAnsi="宋体" w:eastAsia="宋体" w:cs="宋体"/>
                <w:sz w:val="21"/>
                <w:szCs w:val="21"/>
              </w:rPr>
              <w:t>食品安全管理员证书</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每提供一人得2分，</w:t>
            </w:r>
            <w:r>
              <w:rPr>
                <w:rFonts w:hint="eastAsia" w:ascii="宋体" w:hAnsi="宋体" w:eastAsia="宋体" w:cs="宋体"/>
                <w:sz w:val="21"/>
                <w:szCs w:val="21"/>
              </w:rPr>
              <w:t>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7C589741">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14:paraId="43DD4072">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2B77B1EE">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w:t>
            </w:r>
            <w:r>
              <w:rPr>
                <w:rFonts w:hint="eastAsia" w:ascii="宋体" w:hAnsi="宋体" w:cs="宋体"/>
                <w:sz w:val="21"/>
                <w:szCs w:val="21"/>
                <w:lang w:eastAsia="zh-CN"/>
              </w:rPr>
              <w:t>（</w:t>
            </w:r>
            <w:r>
              <w:rPr>
                <w:rFonts w:hint="eastAsia" w:ascii="宋体" w:hAnsi="宋体" w:cs="宋体"/>
                <w:sz w:val="21"/>
                <w:szCs w:val="21"/>
                <w:lang w:val="en-US" w:eastAsia="zh-CN"/>
              </w:rPr>
              <w:t>2024年7月-2024年9月</w:t>
            </w:r>
            <w:r>
              <w:rPr>
                <w:rFonts w:hint="eastAsia" w:ascii="宋体" w:hAnsi="宋体" w:cs="宋体"/>
                <w:sz w:val="21"/>
                <w:szCs w:val="21"/>
                <w:lang w:eastAsia="zh-CN"/>
              </w:rPr>
              <w:t>）</w:t>
            </w:r>
            <w:r>
              <w:rPr>
                <w:rFonts w:hint="eastAsia" w:ascii="宋体" w:hAnsi="宋体" w:eastAsia="宋体" w:cs="宋体"/>
                <w:sz w:val="21"/>
                <w:szCs w:val="21"/>
              </w:rPr>
              <w:t>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1E29FC6E">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2.提供</w:t>
            </w:r>
            <w:r>
              <w:rPr>
                <w:rFonts w:hint="eastAsia" w:ascii="宋体" w:hAnsi="宋体" w:eastAsia="宋体" w:cs="宋体"/>
                <w:sz w:val="21"/>
                <w:szCs w:val="21"/>
                <w:lang w:val="en-US" w:eastAsia="zh-CN"/>
              </w:rPr>
              <w:t>项目团队成员的食品安全管理员考试合格证明（或食品安全管理员证书）作为评分依据</w:t>
            </w:r>
            <w:r>
              <w:rPr>
                <w:rFonts w:hint="eastAsia" w:ascii="宋体" w:hAnsi="宋体" w:eastAsia="宋体" w:cs="宋体"/>
                <w:sz w:val="21"/>
                <w:szCs w:val="21"/>
              </w:rPr>
              <w:t>；</w:t>
            </w:r>
          </w:p>
          <w:p w14:paraId="2804123B">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均提供复印件或扫描件加盖投标供应商公章，原件备查。</w:t>
            </w:r>
            <w:r>
              <w:rPr>
                <w:rFonts w:hint="eastAsia" w:ascii="宋体" w:hAnsi="宋体" w:eastAsia="宋体" w:cs="宋体"/>
                <w:sz w:val="21"/>
                <w:szCs w:val="21"/>
              </w:rPr>
              <w:t>未按要求提供有效证明材料或提供不清晰导致评委无法识别的不计得分。</w:t>
            </w:r>
          </w:p>
        </w:tc>
      </w:tr>
      <w:tr w14:paraId="482B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78673B72">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74637A2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项目拟使用的车辆、场地、工具、机器等情况</w:t>
            </w:r>
          </w:p>
        </w:tc>
        <w:tc>
          <w:tcPr>
            <w:tcW w:w="674" w:type="dxa"/>
            <w:tcBorders>
              <w:right w:val="single" w:color="auto" w:sz="4" w:space="0"/>
            </w:tcBorders>
            <w:vAlign w:val="center"/>
          </w:tcPr>
          <w:p w14:paraId="29C398A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6396" w:type="dxa"/>
            <w:tcBorders>
              <w:left w:val="single" w:color="auto" w:sz="4" w:space="0"/>
              <w:right w:val="double" w:color="auto" w:sz="4" w:space="0"/>
            </w:tcBorders>
            <w:vAlign w:val="center"/>
          </w:tcPr>
          <w:p w14:paraId="2238162B">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1DCC2E4">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根据投标供应商承诺中标后提供的自有或租赁冷藏车辆且无限号或禁行问题的</w:t>
            </w:r>
            <w:r>
              <w:rPr>
                <w:rFonts w:hint="eastAsia" w:ascii="宋体" w:hAnsi="宋体" w:eastAsia="宋体" w:cs="宋体"/>
                <w:sz w:val="21"/>
                <w:szCs w:val="21"/>
              </w:rPr>
              <w:t>冷藏车</w:t>
            </w:r>
            <w:r>
              <w:rPr>
                <w:rFonts w:hint="eastAsia" w:ascii="宋体" w:hAnsi="宋体" w:eastAsia="宋体" w:cs="宋体"/>
                <w:sz w:val="21"/>
                <w:szCs w:val="21"/>
                <w:lang w:val="en-US" w:eastAsia="zh-CN"/>
              </w:rPr>
              <w:t>（</w:t>
            </w:r>
            <w:r>
              <w:rPr>
                <w:rFonts w:hint="eastAsia" w:ascii="宋体" w:hAnsi="宋体" w:eastAsia="宋体" w:cs="宋体"/>
                <w:sz w:val="21"/>
                <w:szCs w:val="21"/>
              </w:rPr>
              <w:t>承诺函内容包括不限于</w:t>
            </w:r>
            <w:r>
              <w:rPr>
                <w:rFonts w:hint="eastAsia" w:ascii="宋体" w:hAnsi="宋体" w:eastAsia="宋体" w:cs="宋体"/>
                <w:sz w:val="21"/>
                <w:szCs w:val="21"/>
                <w:lang w:eastAsia="zh-CN"/>
              </w:rPr>
              <w:t>：</w:t>
            </w:r>
            <w:r>
              <w:rPr>
                <w:rFonts w:hint="eastAsia" w:ascii="宋体" w:hAnsi="宋体" w:eastAsia="宋体" w:cs="宋体"/>
                <w:sz w:val="21"/>
                <w:szCs w:val="21"/>
              </w:rPr>
              <w:t>承诺中标后合同签订前配备，并明确配备冷藏车数量，并在合同签订前提供冷藏车的车牌、车况的信息</w:t>
            </w:r>
            <w:r>
              <w:rPr>
                <w:rFonts w:hint="eastAsia" w:ascii="宋体" w:hAnsi="宋体" w:eastAsia="宋体" w:cs="宋体"/>
                <w:sz w:val="21"/>
                <w:szCs w:val="21"/>
                <w:lang w:val="en-US" w:eastAsia="zh-CN"/>
              </w:rPr>
              <w:t>等），用于本项目的配送服务：</w:t>
            </w:r>
          </w:p>
          <w:p w14:paraId="14C21BF9">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（1）承诺冷藏车≥</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台的，得2分；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（2）承诺冷藏车</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台的，得1分；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（3）承诺冷藏车</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台的，得0.5分；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w:t>
            </w:r>
            <w:r>
              <w:rPr>
                <w:rFonts w:hint="eastAsia" w:ascii="宋体" w:hAnsi="宋体" w:cs="宋体"/>
                <w:sz w:val="21"/>
                <w:szCs w:val="21"/>
                <w:lang w:val="en-US" w:eastAsia="zh-CN"/>
              </w:rPr>
              <w:t>没有冷藏车不得分</w:t>
            </w:r>
            <w:r>
              <w:rPr>
                <w:rFonts w:hint="eastAsia" w:ascii="宋体" w:hAnsi="宋体" w:eastAsia="宋体" w:cs="宋体"/>
                <w:sz w:val="21"/>
                <w:szCs w:val="21"/>
                <w:lang w:val="en-US" w:eastAsia="zh-CN"/>
              </w:rPr>
              <w:t>，本项最高得2分。</w:t>
            </w:r>
          </w:p>
          <w:p w14:paraId="316138F1">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根据</w:t>
            </w:r>
            <w:r>
              <w:rPr>
                <w:rFonts w:hint="eastAsia" w:ascii="宋体" w:hAnsi="宋体" w:eastAsia="宋体" w:cs="宋体"/>
                <w:sz w:val="21"/>
                <w:szCs w:val="21"/>
                <w:lang w:eastAsia="zh-CN"/>
              </w:rPr>
              <w:t>投标供应商</w:t>
            </w:r>
            <w:r>
              <w:rPr>
                <w:rFonts w:hint="eastAsia" w:ascii="宋体" w:hAnsi="宋体" w:eastAsia="宋体" w:cs="宋体"/>
                <w:sz w:val="21"/>
                <w:szCs w:val="21"/>
              </w:rPr>
              <w:t>承诺为本项目提供</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自有或租赁</w:t>
            </w:r>
            <w:r>
              <w:rPr>
                <w:rFonts w:hint="eastAsia" w:ascii="宋体" w:hAnsi="宋体" w:eastAsia="宋体" w:cs="宋体"/>
                <w:sz w:val="21"/>
                <w:szCs w:val="21"/>
              </w:rPr>
              <w:t>配送场地情况（承诺函内容包括不限于</w:t>
            </w:r>
            <w:r>
              <w:rPr>
                <w:rFonts w:hint="eastAsia" w:ascii="宋体" w:hAnsi="宋体" w:eastAsia="宋体" w:cs="宋体"/>
                <w:sz w:val="21"/>
                <w:szCs w:val="21"/>
                <w:lang w:eastAsia="zh-CN"/>
              </w:rPr>
              <w:t>：</w:t>
            </w:r>
            <w:r>
              <w:rPr>
                <w:rFonts w:hint="eastAsia" w:ascii="宋体" w:hAnsi="宋体" w:eastAsia="宋体" w:cs="宋体"/>
                <w:sz w:val="21"/>
                <w:szCs w:val="21"/>
              </w:rPr>
              <w:t>承诺中标后合同签订前配备配送场地，并明确配送场地面积）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用于本项目的配送服务：</w:t>
            </w:r>
          </w:p>
          <w:p w14:paraId="1CED443A">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（1）配送场所面积</w:t>
            </w:r>
            <w:r>
              <w:rPr>
                <w:rFonts w:hint="eastAsia" w:ascii="宋体" w:hAnsi="宋体" w:eastAsia="宋体" w:cs="宋体"/>
                <w:sz w:val="21"/>
                <w:szCs w:val="21"/>
                <w:lang w:val="en-US" w:eastAsia="zh-CN"/>
              </w:rPr>
              <w:t>＞</w:t>
            </w:r>
            <w:r>
              <w:rPr>
                <w:rFonts w:hint="eastAsia" w:ascii="宋体" w:hAnsi="宋体" w:eastAsia="宋体" w:cs="宋体"/>
                <w:sz w:val="21"/>
                <w:szCs w:val="21"/>
              </w:rPr>
              <w:t>5000平方米，得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7672C1FB">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（2）3000平方米</w:t>
            </w:r>
            <w:r>
              <w:rPr>
                <w:rFonts w:hint="eastAsia" w:ascii="宋体" w:hAnsi="宋体" w:eastAsia="宋体" w:cs="宋体"/>
                <w:sz w:val="21"/>
                <w:szCs w:val="21"/>
                <w:lang w:val="en-US" w:eastAsia="zh-CN"/>
              </w:rPr>
              <w:t>＜</w:t>
            </w:r>
            <w:r>
              <w:rPr>
                <w:rFonts w:hint="eastAsia" w:ascii="宋体" w:hAnsi="宋体" w:eastAsia="宋体" w:cs="宋体"/>
                <w:sz w:val="21"/>
                <w:szCs w:val="21"/>
              </w:rPr>
              <w:t>配送场所面积</w:t>
            </w:r>
            <w:r>
              <w:rPr>
                <w:rFonts w:hint="eastAsia" w:ascii="宋体" w:hAnsi="宋体" w:eastAsia="宋体" w:cs="宋体"/>
                <w:sz w:val="21"/>
                <w:szCs w:val="21"/>
                <w:lang w:val="en-US" w:eastAsia="zh-CN"/>
              </w:rPr>
              <w:t>≤</w:t>
            </w:r>
            <w:r>
              <w:rPr>
                <w:rFonts w:hint="eastAsia" w:ascii="宋体" w:hAnsi="宋体" w:eastAsia="宋体" w:cs="宋体"/>
                <w:sz w:val="21"/>
                <w:szCs w:val="21"/>
              </w:rPr>
              <w:t>5000平方米，得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3C98095D">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（3）1500平方米</w:t>
            </w:r>
            <w:r>
              <w:rPr>
                <w:rFonts w:hint="eastAsia" w:ascii="宋体" w:hAnsi="宋体" w:eastAsia="宋体" w:cs="宋体"/>
                <w:sz w:val="21"/>
                <w:szCs w:val="21"/>
                <w:lang w:val="en-US" w:eastAsia="zh-CN"/>
              </w:rPr>
              <w:t>＜</w:t>
            </w:r>
            <w:r>
              <w:rPr>
                <w:rFonts w:hint="eastAsia" w:ascii="宋体" w:hAnsi="宋体" w:eastAsia="宋体" w:cs="宋体"/>
                <w:sz w:val="21"/>
                <w:szCs w:val="21"/>
              </w:rPr>
              <w:t>配送场所面积</w:t>
            </w:r>
            <w:r>
              <w:rPr>
                <w:rFonts w:hint="eastAsia" w:ascii="宋体" w:hAnsi="宋体" w:eastAsia="宋体" w:cs="宋体"/>
                <w:sz w:val="21"/>
                <w:szCs w:val="21"/>
                <w:lang w:val="en-US" w:eastAsia="zh-CN"/>
              </w:rPr>
              <w:t>≤</w:t>
            </w:r>
            <w:r>
              <w:rPr>
                <w:rFonts w:hint="eastAsia" w:ascii="宋体" w:hAnsi="宋体" w:eastAsia="宋体" w:cs="宋体"/>
                <w:sz w:val="21"/>
                <w:szCs w:val="21"/>
              </w:rPr>
              <w:t>3000平方米，得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14:paraId="11BE477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配送场所面积</w:t>
            </w:r>
            <w:r>
              <w:rPr>
                <w:rFonts w:hint="eastAsia" w:ascii="宋体" w:hAnsi="宋体" w:eastAsia="宋体" w:cs="宋体"/>
                <w:sz w:val="21"/>
                <w:szCs w:val="21"/>
                <w:lang w:val="en-US" w:eastAsia="zh-CN"/>
              </w:rPr>
              <w:t>≤1500平方米，得0.25分；</w:t>
            </w:r>
          </w:p>
          <w:p w14:paraId="6224E67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没有</w:t>
            </w:r>
            <w:r>
              <w:rPr>
                <w:rFonts w:hint="eastAsia" w:ascii="宋体" w:hAnsi="宋体" w:eastAsia="宋体" w:cs="宋体"/>
                <w:sz w:val="21"/>
                <w:szCs w:val="21"/>
              </w:rPr>
              <w:t>配送场所面积</w:t>
            </w:r>
            <w:r>
              <w:rPr>
                <w:rFonts w:hint="eastAsia" w:ascii="宋体" w:hAnsi="宋体" w:eastAsia="宋体" w:cs="宋体"/>
                <w:sz w:val="21"/>
                <w:szCs w:val="21"/>
                <w:lang w:val="en-US" w:eastAsia="zh-CN"/>
              </w:rPr>
              <w:t>不得分，本项最高得1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rPr>
              <w:t>。</w:t>
            </w:r>
          </w:p>
          <w:p w14:paraId="5299536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根据</w:t>
            </w:r>
            <w:r>
              <w:rPr>
                <w:rFonts w:hint="eastAsia" w:ascii="宋体" w:hAnsi="宋体" w:eastAsia="宋体" w:cs="宋体"/>
                <w:sz w:val="21"/>
                <w:szCs w:val="21"/>
                <w:lang w:eastAsia="zh-CN"/>
              </w:rPr>
              <w:t>投标供应商</w:t>
            </w:r>
            <w:r>
              <w:rPr>
                <w:rFonts w:hint="eastAsia" w:ascii="宋体" w:hAnsi="宋体" w:eastAsia="宋体" w:cs="宋体"/>
                <w:sz w:val="21"/>
                <w:szCs w:val="21"/>
              </w:rPr>
              <w:t>承诺为本项目提供</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自有或租赁</w:t>
            </w:r>
            <w:r>
              <w:rPr>
                <w:rFonts w:hint="eastAsia" w:ascii="宋体" w:hAnsi="宋体" w:eastAsia="宋体" w:cs="宋体"/>
                <w:sz w:val="21"/>
                <w:szCs w:val="21"/>
              </w:rPr>
              <w:t>冷库（</w:t>
            </w:r>
            <w:r>
              <w:rPr>
                <w:rFonts w:hint="eastAsia" w:ascii="宋体" w:hAnsi="宋体" w:eastAsia="宋体" w:cs="宋体"/>
                <w:sz w:val="21"/>
                <w:szCs w:val="21"/>
                <w:lang w:val="en-US"/>
              </w:rPr>
              <w:t>含冷冻库和冷藏库</w:t>
            </w:r>
            <w:r>
              <w:rPr>
                <w:rFonts w:hint="eastAsia" w:ascii="宋体" w:hAnsi="宋体" w:eastAsia="宋体" w:cs="宋体"/>
                <w:sz w:val="21"/>
                <w:szCs w:val="21"/>
              </w:rPr>
              <w:t>）</w:t>
            </w:r>
            <w:r>
              <w:rPr>
                <w:rFonts w:hint="eastAsia" w:ascii="宋体" w:hAnsi="宋体" w:eastAsia="宋体" w:cs="宋体"/>
                <w:sz w:val="21"/>
                <w:szCs w:val="21"/>
                <w:lang w:val="en-US" w:eastAsia="zh-CN"/>
              </w:rPr>
              <w:t>情况</w:t>
            </w:r>
            <w:r>
              <w:rPr>
                <w:rFonts w:hint="eastAsia" w:ascii="宋体" w:hAnsi="宋体" w:eastAsia="宋体" w:cs="宋体"/>
                <w:sz w:val="21"/>
                <w:szCs w:val="21"/>
              </w:rPr>
              <w:t>（承诺函内容包括不限于</w:t>
            </w:r>
            <w:r>
              <w:rPr>
                <w:rFonts w:hint="eastAsia" w:ascii="宋体" w:hAnsi="宋体" w:eastAsia="宋体" w:cs="宋体"/>
                <w:sz w:val="21"/>
                <w:szCs w:val="21"/>
                <w:lang w:eastAsia="zh-CN"/>
              </w:rPr>
              <w:t>：</w:t>
            </w:r>
            <w:r>
              <w:rPr>
                <w:rFonts w:hint="eastAsia" w:ascii="宋体" w:hAnsi="宋体" w:eastAsia="宋体" w:cs="宋体"/>
                <w:sz w:val="21"/>
                <w:szCs w:val="21"/>
              </w:rPr>
              <w:t>承诺中标后合同签订前配备冷库，并明确配冷库面积）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用于本项目的配送服务：</w:t>
            </w:r>
          </w:p>
          <w:p w14:paraId="1A18ED5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投标供应商</w:t>
            </w:r>
            <w:r>
              <w:rPr>
                <w:rFonts w:hint="eastAsia" w:ascii="宋体" w:hAnsi="宋体" w:eastAsia="宋体" w:cs="宋体"/>
                <w:sz w:val="21"/>
                <w:szCs w:val="21"/>
              </w:rPr>
              <w:t>在深圳市配备自有或租赁冷库（含冷库和冷藏功能）情况：</w:t>
            </w:r>
          </w:p>
          <w:p w14:paraId="7584338B">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（1）冷库面积</w:t>
            </w:r>
            <w:r>
              <w:rPr>
                <w:rFonts w:hint="eastAsia" w:ascii="宋体" w:hAnsi="宋体" w:eastAsia="宋体" w:cs="宋体"/>
                <w:sz w:val="21"/>
                <w:szCs w:val="21"/>
                <w:lang w:val="en-US" w:eastAsia="zh-CN"/>
              </w:rPr>
              <w:t>＞</w:t>
            </w:r>
            <w:r>
              <w:rPr>
                <w:rFonts w:hint="eastAsia" w:ascii="宋体" w:hAnsi="宋体" w:eastAsia="宋体" w:cs="宋体"/>
                <w:sz w:val="21"/>
                <w:szCs w:val="21"/>
              </w:rPr>
              <w:t>1000</w:t>
            </w:r>
            <w:r>
              <w:rPr>
                <w:rFonts w:hint="eastAsia" w:ascii="宋体" w:hAnsi="宋体" w:eastAsia="宋体" w:cs="宋体"/>
                <w:sz w:val="21"/>
                <w:szCs w:val="21"/>
                <w:lang w:val="en-US" w:eastAsia="zh-CN"/>
              </w:rPr>
              <w:t>平方米</w:t>
            </w:r>
            <w:r>
              <w:rPr>
                <w:rFonts w:hint="eastAsia" w:ascii="宋体" w:hAnsi="宋体" w:eastAsia="宋体" w:cs="宋体"/>
                <w:sz w:val="21"/>
                <w:szCs w:val="21"/>
              </w:rPr>
              <w:t>的，得</w:t>
            </w:r>
            <w:r>
              <w:rPr>
                <w:rFonts w:hint="eastAsia" w:ascii="宋体" w:hAnsi="宋体" w:eastAsia="宋体" w:cs="宋体"/>
                <w:sz w:val="21"/>
                <w:szCs w:val="21"/>
                <w:lang w:val="en-US" w:eastAsia="zh-CN"/>
              </w:rPr>
              <w:t>2.5</w:t>
            </w:r>
            <w:r>
              <w:rPr>
                <w:rFonts w:hint="eastAsia" w:ascii="宋体" w:hAnsi="宋体" w:eastAsia="宋体" w:cs="宋体"/>
                <w:sz w:val="21"/>
                <w:szCs w:val="21"/>
              </w:rPr>
              <w:t>分；</w:t>
            </w:r>
          </w:p>
          <w:p w14:paraId="6F10652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（2）600</w:t>
            </w:r>
            <w:r>
              <w:rPr>
                <w:rFonts w:hint="eastAsia" w:ascii="宋体" w:hAnsi="宋体" w:eastAsia="宋体" w:cs="宋体"/>
                <w:sz w:val="21"/>
                <w:szCs w:val="21"/>
                <w:lang w:val="en-US" w:eastAsia="zh-CN"/>
              </w:rPr>
              <w:t>平方米＜</w:t>
            </w:r>
            <w:r>
              <w:rPr>
                <w:rFonts w:hint="eastAsia" w:ascii="宋体" w:hAnsi="宋体" w:eastAsia="宋体" w:cs="宋体"/>
                <w:sz w:val="21"/>
                <w:szCs w:val="21"/>
              </w:rPr>
              <w:t>冷库面积</w:t>
            </w:r>
            <w:r>
              <w:rPr>
                <w:rFonts w:hint="eastAsia" w:ascii="宋体" w:hAnsi="宋体" w:eastAsia="宋体" w:cs="宋体"/>
                <w:sz w:val="21"/>
                <w:szCs w:val="21"/>
                <w:lang w:val="en-US" w:eastAsia="zh-CN"/>
              </w:rPr>
              <w:t>≤</w:t>
            </w:r>
            <w:r>
              <w:rPr>
                <w:rFonts w:hint="eastAsia" w:ascii="宋体" w:hAnsi="宋体" w:eastAsia="宋体" w:cs="宋体"/>
                <w:sz w:val="21"/>
                <w:szCs w:val="21"/>
              </w:rPr>
              <w:t>1000</w:t>
            </w:r>
            <w:r>
              <w:rPr>
                <w:rFonts w:hint="eastAsia" w:ascii="宋体" w:hAnsi="宋体" w:eastAsia="宋体" w:cs="宋体"/>
                <w:sz w:val="21"/>
                <w:szCs w:val="21"/>
                <w:lang w:val="en-US" w:eastAsia="zh-CN"/>
              </w:rPr>
              <w:t>平方米</w:t>
            </w:r>
            <w:r>
              <w:rPr>
                <w:rFonts w:hint="eastAsia" w:ascii="宋体" w:hAnsi="宋体" w:eastAsia="宋体" w:cs="宋体"/>
                <w:sz w:val="21"/>
                <w:szCs w:val="21"/>
              </w:rPr>
              <w:t>的，得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7E2B14DE">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（3）300</w:t>
            </w:r>
            <w:r>
              <w:rPr>
                <w:rFonts w:hint="eastAsia" w:ascii="宋体" w:hAnsi="宋体" w:eastAsia="宋体" w:cs="宋体"/>
                <w:sz w:val="21"/>
                <w:szCs w:val="21"/>
                <w:lang w:val="en-US" w:eastAsia="zh-CN"/>
              </w:rPr>
              <w:t>平方米＜</w:t>
            </w:r>
            <w:r>
              <w:rPr>
                <w:rFonts w:hint="eastAsia" w:ascii="宋体" w:hAnsi="宋体" w:eastAsia="宋体" w:cs="宋体"/>
                <w:sz w:val="21"/>
                <w:szCs w:val="21"/>
              </w:rPr>
              <w:t>冷库面积</w:t>
            </w:r>
            <w:r>
              <w:rPr>
                <w:rFonts w:hint="eastAsia" w:ascii="宋体" w:hAnsi="宋体" w:eastAsia="宋体" w:cs="宋体"/>
                <w:sz w:val="21"/>
                <w:szCs w:val="21"/>
                <w:lang w:val="en-US" w:eastAsia="zh-CN"/>
              </w:rPr>
              <w:t>≤</w:t>
            </w:r>
            <w:r>
              <w:rPr>
                <w:rFonts w:hint="eastAsia" w:ascii="宋体" w:hAnsi="宋体" w:eastAsia="宋体" w:cs="宋体"/>
                <w:sz w:val="21"/>
                <w:szCs w:val="21"/>
              </w:rPr>
              <w:t>600</w:t>
            </w:r>
            <w:r>
              <w:rPr>
                <w:rFonts w:hint="eastAsia" w:ascii="宋体" w:hAnsi="宋体" w:eastAsia="宋体" w:cs="宋体"/>
                <w:sz w:val="21"/>
                <w:szCs w:val="21"/>
                <w:lang w:val="en-US" w:eastAsia="zh-CN"/>
              </w:rPr>
              <w:t>平方米</w:t>
            </w:r>
            <w:r>
              <w:rPr>
                <w:rFonts w:hint="eastAsia" w:ascii="宋体" w:hAnsi="宋体" w:eastAsia="宋体" w:cs="宋体"/>
                <w:sz w:val="21"/>
                <w:szCs w:val="21"/>
              </w:rPr>
              <w:t>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2A4A0DAC">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冷库面积</w:t>
            </w:r>
            <w:r>
              <w:rPr>
                <w:rFonts w:hint="eastAsia" w:ascii="宋体" w:hAnsi="宋体" w:eastAsia="宋体" w:cs="宋体"/>
                <w:sz w:val="21"/>
                <w:szCs w:val="21"/>
                <w:lang w:val="en-US" w:eastAsia="zh-CN"/>
              </w:rPr>
              <w:t>≤300平方米，得0.5分；</w:t>
            </w:r>
          </w:p>
          <w:p w14:paraId="1FFC25F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没有</w:t>
            </w:r>
            <w:r>
              <w:rPr>
                <w:rFonts w:hint="eastAsia" w:ascii="宋体" w:hAnsi="宋体" w:eastAsia="宋体" w:cs="宋体"/>
                <w:sz w:val="21"/>
                <w:szCs w:val="21"/>
              </w:rPr>
              <w:t>冷库面积</w:t>
            </w:r>
            <w:r>
              <w:rPr>
                <w:rFonts w:hint="eastAsia" w:ascii="宋体" w:hAnsi="宋体" w:eastAsia="宋体" w:cs="宋体"/>
                <w:sz w:val="21"/>
                <w:szCs w:val="21"/>
                <w:lang w:val="en-US" w:eastAsia="zh-CN"/>
              </w:rPr>
              <w:t>不得分，本项最高得2.5分</w:t>
            </w:r>
            <w:r>
              <w:rPr>
                <w:rFonts w:hint="eastAsia" w:ascii="宋体" w:hAnsi="宋体" w:eastAsia="宋体" w:cs="宋体"/>
                <w:sz w:val="21"/>
                <w:szCs w:val="21"/>
              </w:rPr>
              <w:t>。</w:t>
            </w:r>
          </w:p>
          <w:p w14:paraId="3F8655D2">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根据</w:t>
            </w:r>
            <w:r>
              <w:rPr>
                <w:rFonts w:hint="eastAsia" w:ascii="宋体" w:hAnsi="宋体" w:eastAsia="宋体" w:cs="宋体"/>
                <w:sz w:val="21"/>
                <w:szCs w:val="21"/>
                <w:lang w:eastAsia="zh-CN"/>
              </w:rPr>
              <w:t>投标供应商</w:t>
            </w:r>
            <w:r>
              <w:rPr>
                <w:rFonts w:hint="eastAsia" w:ascii="宋体" w:hAnsi="宋体" w:eastAsia="宋体" w:cs="宋体"/>
                <w:sz w:val="21"/>
                <w:szCs w:val="21"/>
              </w:rPr>
              <w:t>承诺为本项目提供</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食品</w:t>
            </w:r>
            <w:r>
              <w:rPr>
                <w:rFonts w:hint="eastAsia" w:ascii="宋体" w:hAnsi="宋体" w:eastAsia="宋体" w:cs="宋体"/>
                <w:sz w:val="21"/>
                <w:szCs w:val="21"/>
              </w:rPr>
              <w:t>检测保障能力（承诺函内容包括不限于</w:t>
            </w:r>
            <w:r>
              <w:rPr>
                <w:rFonts w:hint="eastAsia" w:ascii="宋体" w:hAnsi="宋体" w:eastAsia="宋体" w:cs="宋体"/>
                <w:sz w:val="21"/>
                <w:szCs w:val="21"/>
                <w:lang w:eastAsia="zh-CN"/>
              </w:rPr>
              <w:t>：</w:t>
            </w:r>
            <w:r>
              <w:rPr>
                <w:rFonts w:hint="eastAsia" w:ascii="宋体" w:hAnsi="宋体" w:eastAsia="宋体" w:cs="宋体"/>
                <w:sz w:val="21"/>
                <w:szCs w:val="21"/>
              </w:rPr>
              <w:t>承诺中标后合同签订前配备</w:t>
            </w:r>
            <w:r>
              <w:rPr>
                <w:rFonts w:hint="eastAsia" w:ascii="宋体" w:hAnsi="宋体" w:eastAsia="宋体" w:cs="宋体"/>
                <w:sz w:val="21"/>
                <w:szCs w:val="21"/>
                <w:lang w:val="en-US" w:eastAsia="zh-CN"/>
              </w:rPr>
              <w:t>自有或租赁的</w:t>
            </w:r>
            <w:r>
              <w:rPr>
                <w:rFonts w:hint="eastAsia" w:ascii="宋体" w:hAnsi="宋体" w:eastAsia="宋体" w:cs="宋体"/>
                <w:sz w:val="21"/>
                <w:szCs w:val="21"/>
              </w:rPr>
              <w:t>检测实验室以及检测仪器，并注明仪器类型与数量）</w:t>
            </w:r>
            <w:r>
              <w:rPr>
                <w:rFonts w:hint="eastAsia" w:ascii="宋体" w:hAnsi="宋体" w:eastAsia="宋体" w:cs="宋体"/>
                <w:sz w:val="21"/>
                <w:szCs w:val="21"/>
                <w:lang w:val="en-US" w:eastAsia="zh-CN"/>
              </w:rPr>
              <w:t>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用于本项目的配送服务：</w:t>
            </w:r>
          </w:p>
          <w:p w14:paraId="7B315164">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承诺为本项目投入检测实验室以及检测仪器，每提供1台专业检测食材设备得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42BB85C2">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14:paraId="58DC5F4A">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3F867CA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相应的</w:t>
            </w:r>
            <w:r>
              <w:rPr>
                <w:rFonts w:hint="eastAsia" w:ascii="宋体" w:hAnsi="宋体" w:eastAsia="宋体" w:cs="宋体"/>
                <w:sz w:val="21"/>
                <w:szCs w:val="21"/>
              </w:rPr>
              <w:t>《承诺函》（格式自定）作为</w:t>
            </w:r>
            <w:r>
              <w:rPr>
                <w:rFonts w:hint="eastAsia" w:ascii="宋体" w:hAnsi="宋体" w:eastAsia="宋体" w:cs="宋体"/>
                <w:sz w:val="21"/>
                <w:szCs w:val="21"/>
                <w:lang w:val="en-US" w:eastAsia="zh-CN"/>
              </w:rPr>
              <w:t>评分</w:t>
            </w:r>
            <w:r>
              <w:rPr>
                <w:rFonts w:hint="eastAsia" w:ascii="宋体" w:hAnsi="宋体" w:eastAsia="宋体" w:cs="宋体"/>
                <w:sz w:val="21"/>
                <w:szCs w:val="21"/>
              </w:rPr>
              <w:t>依据，未提供承诺或承诺内容不满足要求不得分。</w:t>
            </w:r>
          </w:p>
        </w:tc>
      </w:tr>
      <w:tr w14:paraId="4155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7788F51C">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1C42428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信息化能力</w:t>
            </w:r>
          </w:p>
        </w:tc>
        <w:tc>
          <w:tcPr>
            <w:tcW w:w="674" w:type="dxa"/>
            <w:tcBorders>
              <w:right w:val="single" w:color="auto" w:sz="4" w:space="0"/>
            </w:tcBorders>
            <w:vAlign w:val="center"/>
          </w:tcPr>
          <w:p w14:paraId="0E8065E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6396" w:type="dxa"/>
            <w:tcBorders>
              <w:left w:val="single" w:color="auto" w:sz="4" w:space="0"/>
              <w:right w:val="double" w:color="auto" w:sz="4" w:space="0"/>
            </w:tcBorders>
            <w:vAlign w:val="center"/>
          </w:tcPr>
          <w:p w14:paraId="7CCB841B">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AFFC7E8">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投标供应商具有相关的信息化管理系统：</w:t>
            </w:r>
          </w:p>
          <w:p w14:paraId="61BD892B">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 具有农产品质量溯源管理类系统；</w:t>
            </w:r>
          </w:p>
          <w:p w14:paraId="298CDB97">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 具有供应链管理类系统；</w:t>
            </w:r>
          </w:p>
          <w:p w14:paraId="6188EA46">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 具有食材相关采配管理类系统；</w:t>
            </w:r>
          </w:p>
          <w:p w14:paraId="57CEEA43">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 具有食材相关采配手机APP管理类系统。</w:t>
            </w:r>
          </w:p>
          <w:p w14:paraId="379D8D11">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每提供上述一项得0.75分，最高得3分，上述系统名称不要求完全一致，若系统名称无法辨认功能的，需提供说明情况或系统截图佐证。若同一软件或系统同时满足以上多项功能的，可同时获得对应软件或系统得分（投标人需同时提供相关说明或证明材料，并提供相关软件系统对应的功能页面截图）。</w:t>
            </w:r>
          </w:p>
          <w:p w14:paraId="3F29A51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14:paraId="6B8CE06D">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25609E3C">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1.自行开发或自有软件的提供计算机软件著作权登记证书和使用界面的功能截图；</w:t>
            </w:r>
          </w:p>
          <w:p w14:paraId="21265044">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2.购买或租赁软件的同时提供计算机软件著作权登记证（需体现著作权人为出售方或出租方）、软件购买（或租赁）合同、购买（或租赁）费用发票和使用界面的功能截图；</w:t>
            </w:r>
          </w:p>
          <w:p w14:paraId="3014F5B3">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以上</w:t>
            </w:r>
            <w:r>
              <w:rPr>
                <w:rFonts w:hint="eastAsia" w:ascii="宋体" w:hAnsi="宋体" w:eastAsia="宋体" w:cs="宋体"/>
                <w:sz w:val="21"/>
                <w:szCs w:val="21"/>
              </w:rPr>
              <w:t>证明文件</w:t>
            </w:r>
            <w:r>
              <w:rPr>
                <w:rFonts w:hint="eastAsia" w:ascii="宋体" w:hAnsi="宋体" w:eastAsia="宋体" w:cs="宋体"/>
                <w:kern w:val="0"/>
                <w:sz w:val="21"/>
                <w:szCs w:val="21"/>
              </w:rPr>
              <w:t>均提供复印件或扫描件加盖投标供应商公章，原件备查。</w:t>
            </w:r>
            <w:r>
              <w:rPr>
                <w:rFonts w:hint="eastAsia" w:ascii="宋体" w:hAnsi="宋体" w:eastAsia="宋体" w:cs="宋体"/>
                <w:sz w:val="21"/>
                <w:szCs w:val="21"/>
              </w:rPr>
              <w:t>未按要求提供有效证明材料或提供不清晰导致评委无法识别的不计得分。</w:t>
            </w:r>
          </w:p>
        </w:tc>
      </w:tr>
      <w:tr w14:paraId="2C7B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77D9A2A4">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242B3CC6">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服务网点</w:t>
            </w:r>
          </w:p>
        </w:tc>
        <w:tc>
          <w:tcPr>
            <w:tcW w:w="674" w:type="dxa"/>
            <w:tcBorders>
              <w:right w:val="single" w:color="auto" w:sz="4" w:space="0"/>
            </w:tcBorders>
            <w:vAlign w:val="center"/>
          </w:tcPr>
          <w:p w14:paraId="5D711858">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6396" w:type="dxa"/>
            <w:tcBorders>
              <w:left w:val="single" w:color="auto" w:sz="4" w:space="0"/>
              <w:right w:val="double" w:color="auto" w:sz="4" w:space="0"/>
            </w:tcBorders>
            <w:vAlign w:val="center"/>
          </w:tcPr>
          <w:p w14:paraId="5402D785">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A549D2F">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投标供应商承诺中标后提供本地服务网点的，得3分。</w:t>
            </w:r>
          </w:p>
          <w:p w14:paraId="7F4C78F0">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p>
          <w:p w14:paraId="33098D4A">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2099E9EA">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提供承诺函（格式自拟），未提供承诺或承诺内容不满足要求不得分。</w:t>
            </w:r>
          </w:p>
        </w:tc>
      </w:tr>
      <w:tr w14:paraId="7C65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Merge w:val="continue"/>
            <w:tcBorders>
              <w:left w:val="double" w:color="auto" w:sz="4" w:space="0"/>
            </w:tcBorders>
            <w:vAlign w:val="center"/>
          </w:tcPr>
          <w:p w14:paraId="5FC13987">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1140" w:type="dxa"/>
            <w:vAlign w:val="center"/>
          </w:tcPr>
          <w:p w14:paraId="0A3BB1E1">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诚信情况</w:t>
            </w:r>
          </w:p>
        </w:tc>
        <w:tc>
          <w:tcPr>
            <w:tcW w:w="674" w:type="dxa"/>
            <w:tcBorders>
              <w:right w:val="single" w:color="auto" w:sz="4" w:space="0"/>
            </w:tcBorders>
            <w:vAlign w:val="center"/>
          </w:tcPr>
          <w:p w14:paraId="3DCB3380">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396" w:type="dxa"/>
            <w:tcBorders>
              <w:left w:val="single" w:color="auto" w:sz="4" w:space="0"/>
              <w:right w:val="double" w:color="auto" w:sz="4" w:space="0"/>
            </w:tcBorders>
            <w:vAlign w:val="center"/>
          </w:tcPr>
          <w:p w14:paraId="1E9C3983">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DCAC047">
            <w:pPr>
              <w:keepNext w:val="0"/>
              <w:keepLines w:val="0"/>
              <w:pageBreakBefore w:val="0"/>
              <w:widowControl w:val="0"/>
              <w:tabs>
                <w:tab w:val="left" w:pos="175"/>
              </w:tabs>
              <w:kinsoku/>
              <w:wordWrap/>
              <w:overflowPunct/>
              <w:topLinePunct w:val="0"/>
              <w:bidi w:val="0"/>
              <w:spacing w:line="360" w:lineRule="auto"/>
              <w:ind w:left="33" w:leftChars="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（采购代理机构通过“信用中国”、“中国政府采购网”、“深圳市政府采购监管网”以及市、区财政部门认定的其他渠道查询供应商信用信息，投标供应商无需提供证明材料。）</w:t>
            </w:r>
          </w:p>
        </w:tc>
      </w:tr>
      <w:tr w14:paraId="0B24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left w:val="double" w:color="auto" w:sz="4" w:space="0"/>
              <w:bottom w:val="double" w:color="auto" w:sz="4" w:space="0"/>
            </w:tcBorders>
            <w:vAlign w:val="center"/>
          </w:tcPr>
          <w:p w14:paraId="681261B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总得分（N）</w:t>
            </w:r>
          </w:p>
          <w:p w14:paraId="58CA0AA7">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（总分100分）</w:t>
            </w:r>
          </w:p>
        </w:tc>
        <w:tc>
          <w:tcPr>
            <w:tcW w:w="1140" w:type="dxa"/>
            <w:tcBorders>
              <w:bottom w:val="double" w:color="auto" w:sz="4" w:space="0"/>
            </w:tcBorders>
            <w:vAlign w:val="center"/>
          </w:tcPr>
          <w:p w14:paraId="045D1AD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snapToGrid w:val="0"/>
                <w:kern w:val="0"/>
                <w:sz w:val="21"/>
                <w:szCs w:val="21"/>
              </w:rPr>
            </w:pPr>
          </w:p>
        </w:tc>
        <w:tc>
          <w:tcPr>
            <w:tcW w:w="674" w:type="dxa"/>
            <w:tcBorders>
              <w:bottom w:val="double" w:color="auto" w:sz="4" w:space="0"/>
            </w:tcBorders>
            <w:vAlign w:val="center"/>
          </w:tcPr>
          <w:p w14:paraId="211012F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100</w:t>
            </w:r>
          </w:p>
        </w:tc>
        <w:tc>
          <w:tcPr>
            <w:tcW w:w="6396" w:type="dxa"/>
            <w:tcBorders>
              <w:bottom w:val="double" w:color="auto" w:sz="4" w:space="0"/>
              <w:right w:val="double" w:color="auto" w:sz="4" w:space="0"/>
            </w:tcBorders>
            <w:vAlign w:val="center"/>
          </w:tcPr>
          <w:p w14:paraId="4296D44F">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N=J+G+S</w:t>
            </w:r>
          </w:p>
        </w:tc>
      </w:tr>
    </w:tbl>
    <w:p w14:paraId="16820855">
      <w:pPr>
        <w:widowControl/>
        <w:jc w:val="left"/>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14:paraId="0D689B7E">
      <w:pPr>
        <w:widowControl/>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14:paraId="64CD0E43">
      <w:pPr>
        <w:spacing w:after="60" w:line="360" w:lineRule="auto"/>
        <w:ind w:firstLine="426" w:firstLineChars="202"/>
        <w:rPr>
          <w:rFonts w:ascii="宋体" w:hAnsi="宋体"/>
          <w:b/>
          <w:snapToGrid w:val="0"/>
          <w:szCs w:val="21"/>
          <w:highlight w:val="yellow"/>
        </w:rPr>
      </w:pPr>
    </w:p>
    <w:p w14:paraId="5A616E0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val="en-US" w:eastAsia="zh-CN"/>
        </w:rPr>
        <w:t>批发业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，投标供应商应根据《工业和信息化部、国家统计局、国家发展和改革委员会、财政部关于印发中小企业划型标准规定的通知》(工信部联企业〔2011〕300号)规定的中小企业划型标准填写《中小企业声明函》。</w:t>
      </w:r>
    </w:p>
    <w:p w14:paraId="399E261F">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31FEE22C">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917FC78">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0E7AF73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供应商，</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2CD6D169">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52A19C56">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（3）分包意向协议约定，小型、微型企业的协议合同金额占到合同总金额30%以上的，可给予投标供应商</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6171FB48">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3FEFE34F">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73474F6">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（三）绿色采购</w:t>
      </w:r>
    </w:p>
    <w:p w14:paraId="564E8C03">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8EAE701">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503A68E">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14:paraId="2725B01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5CBCA88A">
      <w:pPr>
        <w:rPr>
          <w:rFonts w:cs="仿宋" w:asciiTheme="minorEastAsia" w:hAnsiTheme="minorEastAsia" w:eastAsiaTheme="minorEastAsia"/>
        </w:rPr>
      </w:pPr>
      <w:r>
        <w:rPr>
          <w:rFonts w:cs="仿宋" w:asciiTheme="minorEastAsia" w:hAnsiTheme="minorEastAsia" w:eastAsiaTheme="minorEastAsia"/>
        </w:rPr>
        <w:br w:type="page"/>
      </w:r>
    </w:p>
    <w:p w14:paraId="4F2B5DA7">
      <w:pPr>
        <w:rPr>
          <w:rFonts w:cs="仿宋" w:asciiTheme="minorEastAsia" w:hAnsiTheme="minorEastAsia" w:eastAsiaTheme="minorEastAsia"/>
        </w:rPr>
      </w:pPr>
    </w:p>
    <w:p w14:paraId="3A9EF08B">
      <w:pPr>
        <w:rPr>
          <w:rFonts w:cs="仿宋" w:asciiTheme="minorEastAsia" w:hAnsiTheme="minorEastAsia" w:eastAsiaTheme="minorEastAsia"/>
        </w:rPr>
      </w:pPr>
    </w:p>
    <w:p w14:paraId="20BF57B8">
      <w:pPr>
        <w:rPr>
          <w:rFonts w:cs="仿宋" w:asciiTheme="minorEastAsia" w:hAnsiTheme="minorEastAsia" w:eastAsiaTheme="minorEastAsia"/>
        </w:rPr>
      </w:pPr>
    </w:p>
    <w:p w14:paraId="30668887">
      <w:pPr>
        <w:rPr>
          <w:rFonts w:cs="仿宋" w:asciiTheme="minorEastAsia" w:hAnsiTheme="minorEastAsia" w:eastAsiaTheme="minorEastAsia"/>
        </w:rPr>
      </w:pPr>
    </w:p>
    <w:p w14:paraId="2370FA41">
      <w:pPr>
        <w:rPr>
          <w:rFonts w:cs="仿宋" w:asciiTheme="minorEastAsia" w:hAnsiTheme="minorEastAsia" w:eastAsiaTheme="minorEastAsia"/>
        </w:rPr>
      </w:pPr>
    </w:p>
    <w:p w14:paraId="0BDD44F4">
      <w:pPr>
        <w:pStyle w:val="20"/>
        <w:ind w:firstLine="210"/>
      </w:pPr>
    </w:p>
    <w:p w14:paraId="1EEFEF6D">
      <w:pPr>
        <w:pStyle w:val="20"/>
        <w:ind w:firstLine="210"/>
      </w:pPr>
    </w:p>
    <w:p w14:paraId="2B207C6E">
      <w:pPr>
        <w:pStyle w:val="20"/>
        <w:ind w:firstLine="210"/>
      </w:pPr>
    </w:p>
    <w:p w14:paraId="65A87453">
      <w:pPr>
        <w:pStyle w:val="20"/>
        <w:ind w:firstLine="210"/>
      </w:pPr>
    </w:p>
    <w:p w14:paraId="77E42C6C">
      <w:pPr>
        <w:pStyle w:val="20"/>
        <w:ind w:firstLine="210"/>
      </w:pPr>
    </w:p>
    <w:p w14:paraId="24F1871C">
      <w:pPr>
        <w:pStyle w:val="20"/>
        <w:ind w:firstLine="210"/>
      </w:pPr>
    </w:p>
    <w:p w14:paraId="6B5FD2BE">
      <w:pPr>
        <w:pStyle w:val="20"/>
        <w:ind w:firstLine="210"/>
      </w:pPr>
    </w:p>
    <w:p w14:paraId="25697E3A">
      <w:pPr>
        <w:pStyle w:val="20"/>
        <w:ind w:firstLine="210"/>
      </w:pPr>
    </w:p>
    <w:p w14:paraId="51199F29">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第二部分</w:t>
      </w:r>
    </w:p>
    <w:p w14:paraId="5736C04D">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14:paraId="020B4E91">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14:paraId="181991C6">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征集项目需求</w:t>
      </w:r>
    </w:p>
    <w:p w14:paraId="1A4F7E64">
      <w:pPr>
        <w:widowControl/>
        <w:jc w:val="left"/>
        <w:rPr>
          <w:rFonts w:ascii="仿宋_GB2312" w:eastAsia="仿宋_GB2312"/>
          <w:b/>
          <w:sz w:val="24"/>
          <w:highlight w:val="yellow"/>
        </w:rPr>
      </w:pPr>
    </w:p>
    <w:p w14:paraId="404C8C0A">
      <w:pPr>
        <w:widowControl/>
        <w:spacing w:line="360" w:lineRule="auto"/>
        <w:jc w:val="left"/>
        <w:rPr>
          <w:rFonts w:ascii="仿宋_GB2312" w:eastAsia="仿宋_GB2312"/>
          <w:b/>
          <w:sz w:val="24"/>
        </w:rPr>
      </w:pPr>
      <w:r>
        <w:rPr>
          <w:rFonts w:hint="eastAsia" w:ascii="仿宋_GB2312" w:eastAsia="仿宋_GB2312"/>
          <w:b/>
          <w:sz w:val="24"/>
          <w:highlight w:val="yellow"/>
        </w:rPr>
        <w:t>注：需求中加注★的条款为不可负偏离条款，任一项未响应或不满足要求的，将导致投标无效。</w:t>
      </w:r>
    </w:p>
    <w:p w14:paraId="276E86DD">
      <w:pPr>
        <w:pStyle w:val="21"/>
        <w:spacing w:line="360" w:lineRule="auto"/>
      </w:pPr>
    </w:p>
    <w:p w14:paraId="626C2BC2">
      <w:pPr>
        <w:widowControl/>
        <w:spacing w:line="360" w:lineRule="auto"/>
        <w:jc w:val="left"/>
        <w:rPr>
          <w:rFonts w:ascii="宋体" w:hAnsi="宋体" w:cs="宋体"/>
        </w:rPr>
      </w:pPr>
      <w:r>
        <w:rPr>
          <w:rFonts w:hint="eastAsia" w:ascii="宋体" w:hAnsi="宋体" w:cs="宋体"/>
          <w:b/>
          <w:bCs/>
          <w:sz w:val="28"/>
          <w:szCs w:val="21"/>
        </w:rPr>
        <w:t>一、项目预算</w:t>
      </w:r>
    </w:p>
    <w:tbl>
      <w:tblPr>
        <w:tblStyle w:val="22"/>
        <w:tblW w:w="85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902"/>
        <w:gridCol w:w="922"/>
        <w:gridCol w:w="1890"/>
        <w:gridCol w:w="963"/>
      </w:tblGrid>
      <w:tr w14:paraId="328877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0" w:type="dxa"/>
            <w:shd w:val="clear" w:color="auto" w:fill="C6D9F1"/>
            <w:vAlign w:val="center"/>
          </w:tcPr>
          <w:p w14:paraId="6E14EC28">
            <w:pPr>
              <w:spacing w:line="360" w:lineRule="auto"/>
              <w:jc w:val="center"/>
              <w:rPr>
                <w:rFonts w:ascii="宋体" w:hAnsi="宋体" w:cs="宋体"/>
                <w:b/>
              </w:rPr>
            </w:pPr>
            <w:r>
              <w:rPr>
                <w:rFonts w:hint="eastAsia" w:ascii="宋体" w:hAnsi="宋体" w:cs="宋体"/>
                <w:b/>
              </w:rPr>
              <w:t>序号</w:t>
            </w:r>
          </w:p>
        </w:tc>
        <w:tc>
          <w:tcPr>
            <w:tcW w:w="3902" w:type="dxa"/>
            <w:shd w:val="clear" w:color="auto" w:fill="C6D9F1"/>
            <w:vAlign w:val="center"/>
          </w:tcPr>
          <w:p w14:paraId="22942F97">
            <w:pPr>
              <w:spacing w:line="360" w:lineRule="auto"/>
              <w:jc w:val="center"/>
              <w:rPr>
                <w:rFonts w:ascii="宋体" w:hAnsi="宋体" w:cs="宋体"/>
                <w:b/>
              </w:rPr>
            </w:pPr>
            <w:r>
              <w:rPr>
                <w:rFonts w:hint="eastAsia" w:ascii="宋体" w:hAnsi="宋体" w:cs="宋体"/>
                <w:b/>
              </w:rPr>
              <w:t>标的名称</w:t>
            </w:r>
          </w:p>
        </w:tc>
        <w:tc>
          <w:tcPr>
            <w:tcW w:w="922" w:type="dxa"/>
            <w:shd w:val="clear" w:color="auto" w:fill="C6D9F1"/>
            <w:vAlign w:val="center"/>
          </w:tcPr>
          <w:p w14:paraId="181A69AC">
            <w:pPr>
              <w:spacing w:line="360" w:lineRule="auto"/>
              <w:jc w:val="center"/>
              <w:rPr>
                <w:rFonts w:ascii="宋体" w:hAnsi="宋体" w:cs="宋体"/>
                <w:b/>
              </w:rPr>
            </w:pPr>
            <w:r>
              <w:rPr>
                <w:rFonts w:hint="eastAsia" w:ascii="宋体" w:hAnsi="宋体" w:cs="宋体"/>
                <w:b/>
              </w:rPr>
              <w:t>数量</w:t>
            </w:r>
          </w:p>
        </w:tc>
        <w:tc>
          <w:tcPr>
            <w:tcW w:w="1890" w:type="dxa"/>
            <w:shd w:val="clear" w:color="auto" w:fill="C6D9F1"/>
            <w:vAlign w:val="center"/>
          </w:tcPr>
          <w:p w14:paraId="288D9559">
            <w:pPr>
              <w:spacing w:line="360" w:lineRule="auto"/>
              <w:jc w:val="center"/>
              <w:rPr>
                <w:rFonts w:ascii="宋体" w:hAnsi="宋体" w:cs="宋体"/>
                <w:b/>
              </w:rPr>
            </w:pPr>
            <w:r>
              <w:rPr>
                <w:rFonts w:hint="eastAsia" w:ascii="宋体" w:hAnsi="宋体" w:cs="宋体"/>
                <w:b/>
              </w:rPr>
              <w:t>采购预算金额</w:t>
            </w:r>
          </w:p>
        </w:tc>
        <w:tc>
          <w:tcPr>
            <w:tcW w:w="963" w:type="dxa"/>
            <w:shd w:val="clear" w:color="auto" w:fill="C6D9F1"/>
            <w:vAlign w:val="center"/>
          </w:tcPr>
          <w:p w14:paraId="1453CBE6">
            <w:pPr>
              <w:spacing w:line="360" w:lineRule="auto"/>
              <w:jc w:val="center"/>
              <w:rPr>
                <w:rFonts w:ascii="宋体" w:hAnsi="宋体" w:cs="宋体"/>
                <w:b/>
              </w:rPr>
            </w:pPr>
            <w:r>
              <w:rPr>
                <w:rFonts w:hint="eastAsia" w:ascii="宋体" w:hAnsi="宋体" w:cs="宋体"/>
                <w:b/>
              </w:rPr>
              <w:t>备注</w:t>
            </w:r>
          </w:p>
        </w:tc>
      </w:tr>
      <w:tr w14:paraId="5C75D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0" w:type="dxa"/>
            <w:vAlign w:val="center"/>
          </w:tcPr>
          <w:p w14:paraId="54B6DFB6">
            <w:pPr>
              <w:spacing w:line="360" w:lineRule="auto"/>
              <w:jc w:val="center"/>
              <w:rPr>
                <w:rFonts w:ascii="宋体" w:hAnsi="宋体" w:cs="宋体"/>
                <w:szCs w:val="21"/>
              </w:rPr>
            </w:pPr>
            <w:r>
              <w:rPr>
                <w:rFonts w:hint="eastAsia" w:ascii="宋体" w:hAnsi="宋体" w:cs="宋体"/>
                <w:szCs w:val="21"/>
              </w:rPr>
              <w:t>1</w:t>
            </w:r>
          </w:p>
        </w:tc>
        <w:tc>
          <w:tcPr>
            <w:tcW w:w="3902" w:type="dxa"/>
            <w:vAlign w:val="center"/>
          </w:tcPr>
          <w:p w14:paraId="7AC8F162">
            <w:pPr>
              <w:spacing w:line="360" w:lineRule="auto"/>
              <w:jc w:val="center"/>
              <w:rPr>
                <w:rFonts w:hint="eastAsia" w:ascii="宋体" w:hAnsi="宋体" w:eastAsia="宋体" w:cs="宋体"/>
                <w:szCs w:val="21"/>
                <w:lang w:eastAsia="zh-CN"/>
              </w:rPr>
            </w:pPr>
            <w:r>
              <w:rPr>
                <w:rFonts w:hint="eastAsia" w:ascii="宋体" w:hAnsi="宋体" w:cs="宋体"/>
                <w:lang w:eastAsia="zh-CN"/>
              </w:rPr>
              <w:t>治安支队综合食材配送服务项目（追加）</w:t>
            </w:r>
          </w:p>
        </w:tc>
        <w:tc>
          <w:tcPr>
            <w:tcW w:w="922" w:type="dxa"/>
            <w:vAlign w:val="center"/>
          </w:tcPr>
          <w:p w14:paraId="3CCF6B80">
            <w:pPr>
              <w:spacing w:line="360" w:lineRule="auto"/>
              <w:jc w:val="center"/>
              <w:rPr>
                <w:rFonts w:ascii="宋体" w:hAnsi="宋体" w:cs="宋体"/>
                <w:szCs w:val="21"/>
              </w:rPr>
            </w:pPr>
            <w:r>
              <w:rPr>
                <w:rFonts w:hint="eastAsia" w:ascii="宋体" w:hAnsi="宋体" w:cs="宋体"/>
                <w:szCs w:val="21"/>
              </w:rPr>
              <w:t>1项</w:t>
            </w:r>
          </w:p>
        </w:tc>
        <w:tc>
          <w:tcPr>
            <w:tcW w:w="1890" w:type="dxa"/>
            <w:vAlign w:val="center"/>
          </w:tcPr>
          <w:p w14:paraId="1067A7CC">
            <w:pPr>
              <w:spacing w:line="360" w:lineRule="auto"/>
              <w:jc w:val="center"/>
              <w:rPr>
                <w:rFonts w:ascii="宋体" w:hAnsi="宋体" w:cs="宋体"/>
                <w:szCs w:val="21"/>
              </w:rPr>
            </w:pPr>
            <w:r>
              <w:rPr>
                <w:rFonts w:hint="eastAsia" w:ascii="宋体" w:hAnsi="宋体" w:cs="宋体"/>
                <w:szCs w:val="21"/>
              </w:rPr>
              <w:t>人民币</w:t>
            </w:r>
            <w:r>
              <w:rPr>
                <w:rFonts w:hint="eastAsia" w:ascii="宋体" w:hAnsi="宋体" w:cs="宋体"/>
                <w:szCs w:val="21"/>
                <w:lang w:val="en-US" w:eastAsia="zh-CN"/>
              </w:rPr>
              <w:t>39.69</w:t>
            </w:r>
            <w:r>
              <w:rPr>
                <w:rFonts w:hint="eastAsia" w:ascii="宋体" w:hAnsi="宋体" w:cs="宋体"/>
                <w:szCs w:val="21"/>
              </w:rPr>
              <w:t>万元</w:t>
            </w:r>
          </w:p>
        </w:tc>
        <w:tc>
          <w:tcPr>
            <w:tcW w:w="963" w:type="dxa"/>
            <w:vAlign w:val="center"/>
          </w:tcPr>
          <w:p w14:paraId="43FA2516">
            <w:pPr>
              <w:spacing w:line="360" w:lineRule="auto"/>
              <w:jc w:val="center"/>
              <w:rPr>
                <w:rFonts w:ascii="宋体" w:hAnsi="宋体" w:cs="宋体"/>
                <w:szCs w:val="21"/>
              </w:rPr>
            </w:pPr>
            <w:r>
              <w:rPr>
                <w:rFonts w:hint="eastAsia" w:ascii="宋体" w:hAnsi="宋体" w:cs="宋体"/>
                <w:szCs w:val="21"/>
              </w:rPr>
              <w:t>无</w:t>
            </w:r>
          </w:p>
        </w:tc>
      </w:tr>
    </w:tbl>
    <w:p w14:paraId="3A0D554B">
      <w:pPr>
        <w:widowControl/>
        <w:spacing w:line="360" w:lineRule="auto"/>
        <w:jc w:val="left"/>
        <w:rPr>
          <w:rFonts w:ascii="宋体" w:hAnsi="宋体" w:cs="宋体"/>
          <w:b/>
          <w:bCs/>
          <w:sz w:val="28"/>
          <w:szCs w:val="21"/>
        </w:rPr>
      </w:pPr>
    </w:p>
    <w:p w14:paraId="1FA87E19">
      <w:pPr>
        <w:widowControl/>
        <w:spacing w:line="360" w:lineRule="auto"/>
        <w:jc w:val="left"/>
        <w:rPr>
          <w:rFonts w:ascii="宋体" w:hAnsi="宋体" w:cs="宋体"/>
          <w:b/>
          <w:bCs/>
          <w:sz w:val="28"/>
          <w:szCs w:val="21"/>
        </w:rPr>
      </w:pPr>
      <w:r>
        <w:rPr>
          <w:rFonts w:hint="eastAsia" w:ascii="宋体" w:hAnsi="宋体" w:cs="宋体"/>
          <w:b/>
          <w:bCs/>
          <w:sz w:val="28"/>
          <w:szCs w:val="21"/>
        </w:rPr>
        <w:t>二、项目概况</w:t>
      </w:r>
    </w:p>
    <w:p w14:paraId="5C15AE0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为保证深圳市公安局治安管理支队食堂的食品安全和卫生，解决民警、辅警、职工等就餐问题，现向社会采购，选择优秀的公司承担深圳市公安局治安管理支队安托山本部、梅林办公点、红荔办公点等3个食堂的物资配送服务。</w:t>
      </w:r>
    </w:p>
    <w:p w14:paraId="321D67D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项目采购范围：生鲜、肉类、禽类、蔬菜、水果、冻品、水产品、副食品、干货、杂货、调料等综合食材，非食材类食堂日用品不在合同采购范围内。</w:t>
      </w:r>
    </w:p>
    <w:p w14:paraId="4CE3584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项目依据及标准：《中华人民共和国食品安全法》、《餐饮业和集体用餐配送单位卫生规范》、产品国家标准等。</w:t>
      </w:r>
    </w:p>
    <w:p w14:paraId="409B99A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本项目支付上限为</w:t>
      </w:r>
      <w:r>
        <w:rPr>
          <w:rFonts w:hint="eastAsia" w:ascii="宋体" w:hAnsi="宋体" w:cs="宋体"/>
          <w:color w:val="000000" w:themeColor="text1"/>
          <w:szCs w:val="21"/>
          <w:lang w:val="en-US" w:eastAsia="zh-CN"/>
          <w14:textFill>
            <w14:solidFill>
              <w14:schemeClr w14:val="tx1"/>
            </w14:solidFill>
          </w14:textFill>
        </w:rPr>
        <w:t>39.69</w:t>
      </w:r>
      <w:r>
        <w:rPr>
          <w:rFonts w:hint="eastAsia" w:ascii="宋体" w:hAnsi="宋体" w:cs="宋体"/>
          <w:color w:val="000000" w:themeColor="text1"/>
          <w:szCs w:val="21"/>
          <w14:textFill>
            <w14:solidFill>
              <w14:schemeClr w14:val="tx1"/>
            </w14:solidFill>
          </w14:textFill>
        </w:rPr>
        <w:t>万元。</w:t>
      </w:r>
    </w:p>
    <w:p w14:paraId="207FFE7C">
      <w:pPr>
        <w:spacing w:line="360" w:lineRule="auto"/>
        <w:rPr>
          <w:rFonts w:ascii="宋体" w:hAnsi="宋体" w:cs="宋体"/>
          <w:highlight w:val="yellow"/>
        </w:rPr>
      </w:pPr>
    </w:p>
    <w:p w14:paraId="12A1BD91">
      <w:pPr>
        <w:widowControl/>
        <w:spacing w:line="360" w:lineRule="auto"/>
        <w:jc w:val="left"/>
        <w:rPr>
          <w:rFonts w:ascii="宋体" w:hAnsi="宋体" w:cs="宋体"/>
          <w:b/>
          <w:bCs/>
          <w:sz w:val="28"/>
          <w:szCs w:val="21"/>
        </w:rPr>
      </w:pPr>
      <w:r>
        <w:rPr>
          <w:rFonts w:hint="eastAsia" w:ascii="宋体" w:hAnsi="宋体" w:cs="宋体"/>
          <w:b/>
          <w:bCs/>
          <w:sz w:val="28"/>
          <w:szCs w:val="21"/>
        </w:rPr>
        <w:t>三、项目服务要求</w:t>
      </w:r>
    </w:p>
    <w:p w14:paraId="49A5D34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）项目服务要求</w:t>
      </w:r>
    </w:p>
    <w:p w14:paraId="406C81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1、质量要求：</w:t>
      </w:r>
    </w:p>
    <w:p w14:paraId="7F9CEF0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1.1配送食品全部经过国家规定的职能部门检验并有检测报告，安全可靠，从来未出现配送食品安全事故，并出具相关承诺书。</w:t>
      </w:r>
    </w:p>
    <w:p w14:paraId="135991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1.2供应商配送的蔬菜、肉类、食材必须符合国家卫生标准，并且保证质量，不得有腐烂、变质物品。</w:t>
      </w:r>
    </w:p>
    <w:p w14:paraId="7F5711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1.3所送货品有保质期的不得超过保质期的1/3，要求包装完整、无外漏。采购人对不符合质量要求的货品可作退货或换货处理，并追究投标人相关责任。凡属于质量问题必须包退包换，退补货品需在</w:t>
      </w:r>
      <w:r>
        <w:rPr>
          <w:rFonts w:hint="eastAsia" w:ascii="宋体" w:hAnsi="宋体" w:cs="宋体"/>
          <w:sz w:val="21"/>
          <w:szCs w:val="21"/>
          <w:lang w:val="en-US" w:eastAsia="zh-CN"/>
        </w:rPr>
        <w:t>1</w:t>
      </w:r>
      <w:r>
        <w:rPr>
          <w:rFonts w:hint="eastAsia" w:ascii="宋体" w:hAnsi="宋体" w:eastAsia="宋体" w:cs="宋体"/>
          <w:sz w:val="21"/>
          <w:szCs w:val="21"/>
        </w:rPr>
        <w:t>小时内补给，不能影响采购人正常供餐。</w:t>
      </w:r>
    </w:p>
    <w:p w14:paraId="455E9A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1.4若因供应商配送食品、食材导致采购人出现食物事故时，经卫生防疫站检验，证明确属于供应商造成的，供应商必须承担经济与法律上的全部责任。</w:t>
      </w:r>
    </w:p>
    <w:p w14:paraId="17515B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val="en-US" w:eastAsia="zh-CN"/>
        </w:rPr>
        <w:t>供应商所送菜品</w:t>
      </w:r>
      <w:r>
        <w:rPr>
          <w:rFonts w:hint="eastAsia" w:ascii="宋体" w:hAnsi="宋体" w:eastAsia="宋体" w:cs="宋体"/>
          <w:sz w:val="21"/>
          <w:szCs w:val="21"/>
        </w:rPr>
        <w:t>不符合要求</w:t>
      </w:r>
      <w:r>
        <w:rPr>
          <w:rFonts w:hint="eastAsia" w:ascii="宋体" w:hAnsi="宋体" w:cs="宋体"/>
          <w:sz w:val="21"/>
          <w:szCs w:val="21"/>
          <w:lang w:eastAsia="zh-CN"/>
        </w:rPr>
        <w:t>的</w:t>
      </w:r>
      <w:r>
        <w:rPr>
          <w:rFonts w:hint="eastAsia" w:ascii="宋体" w:hAnsi="宋体" w:eastAsia="宋体" w:cs="宋体"/>
          <w:sz w:val="21"/>
          <w:szCs w:val="21"/>
        </w:rPr>
        <w:t>，一次提出口头警告并要求供应商做出书面保证，二次扣当天货款10%，不符合要求达到三次的，采购人可取消其当期供货资格、解除供货合同。</w:t>
      </w:r>
    </w:p>
    <w:p w14:paraId="01199BA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1.6采购人</w:t>
      </w:r>
      <w:r>
        <w:rPr>
          <w:rFonts w:hint="eastAsia" w:ascii="宋体" w:hAnsi="宋体" w:eastAsia="宋体" w:cs="宋体"/>
          <w:sz w:val="21"/>
          <w:szCs w:val="21"/>
          <w:lang w:val="en-US" w:eastAsia="zh-CN"/>
        </w:rPr>
        <w:t>对不符合规格要求的食材等物资，可要求退换或拒收，</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应无条件接受。</w:t>
      </w:r>
    </w:p>
    <w:p w14:paraId="727DD6A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1.7采购人</w:t>
      </w:r>
      <w:r>
        <w:rPr>
          <w:rFonts w:hint="eastAsia" w:ascii="宋体" w:hAnsi="宋体" w:eastAsia="宋体" w:cs="宋体"/>
          <w:sz w:val="21"/>
          <w:szCs w:val="21"/>
          <w:lang w:val="en-US" w:eastAsia="zh-CN"/>
        </w:rPr>
        <w:t>有权对</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配送的各类物品自行或者委托第三方检测机构进行抽检，按国家有关标准，检测不合格，</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予以书面警告，并对该批货物予以没收销毁，</w:t>
      </w:r>
      <w:r>
        <w:rPr>
          <w:rFonts w:hint="eastAsia" w:ascii="宋体" w:hAnsi="宋体" w:cs="宋体"/>
          <w:sz w:val="21"/>
          <w:szCs w:val="21"/>
          <w:lang w:val="en-US" w:eastAsia="zh-CN"/>
        </w:rPr>
        <w:t>且</w:t>
      </w:r>
      <w:r>
        <w:rPr>
          <w:rFonts w:hint="eastAsia" w:ascii="宋体" w:hAnsi="宋体" w:eastAsia="宋体" w:cs="宋体"/>
          <w:sz w:val="21"/>
          <w:szCs w:val="21"/>
          <w:lang w:val="en-US" w:eastAsia="zh-CN"/>
        </w:rPr>
        <w:t>不退还</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并支付相关费用；书面誓告后再出现同样情况，视情况严重性，</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有权单方解除服务合同且无需承担任何责任，</w:t>
      </w:r>
      <w:r>
        <w:rPr>
          <w:rFonts w:hint="eastAsia" w:ascii="宋体" w:hAnsi="宋体" w:cs="宋体"/>
          <w:sz w:val="21"/>
          <w:szCs w:val="21"/>
          <w:lang w:val="en-US" w:eastAsia="zh-CN"/>
        </w:rPr>
        <w:t>供应商</w:t>
      </w:r>
      <w:r>
        <w:rPr>
          <w:rFonts w:hint="eastAsia" w:ascii="宋体" w:hAnsi="宋体" w:eastAsia="宋体" w:cs="宋体"/>
          <w:sz w:val="21"/>
          <w:szCs w:val="21"/>
          <w:lang w:val="en-US" w:eastAsia="zh-CN"/>
        </w:rPr>
        <w:t>应承担责任并支付当天总货款10%的违约金。</w:t>
      </w:r>
    </w:p>
    <w:p w14:paraId="3715E2A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2、数量要求：</w:t>
      </w:r>
    </w:p>
    <w:p w14:paraId="449E2E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和采购人在食品数量验收方面必须严格执行，不能弄虚作假，必须保证配送品种斤两的准确性，以采购人的验货数量为准，供应商每次随货送上一式两份的送货清单，供双方验货后签字确认，双方各持一份，作为送、收货的凭证。专门派一名员工跟单办理业务，按食堂每天制订的采购单进行配送。</w:t>
      </w:r>
    </w:p>
    <w:p w14:paraId="49E7D8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3、时间要求：</w:t>
      </w:r>
    </w:p>
    <w:p w14:paraId="37B201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3.1需保证</w:t>
      </w:r>
      <w:r>
        <w:rPr>
          <w:rFonts w:hint="eastAsia" w:ascii="宋体" w:hAnsi="宋体" w:eastAsia="宋体" w:cs="宋体"/>
          <w:sz w:val="21"/>
          <w:szCs w:val="21"/>
          <w:lang w:eastAsia="zh-CN"/>
        </w:rPr>
        <w:t>合同服务期限内每一天</w:t>
      </w:r>
      <w:r>
        <w:rPr>
          <w:rFonts w:hint="eastAsia" w:ascii="宋体" w:hAnsi="宋体" w:eastAsia="宋体" w:cs="宋体"/>
          <w:sz w:val="21"/>
          <w:szCs w:val="21"/>
        </w:rPr>
        <w:t>均能送货。</w:t>
      </w:r>
    </w:p>
    <w:p w14:paraId="0BA165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3.2周一至周五上午5：20分前；周六、日（节假日）5：40分前</w:t>
      </w:r>
      <w:r>
        <w:rPr>
          <w:rFonts w:hint="eastAsia" w:ascii="宋体" w:hAnsi="宋体" w:cs="宋体"/>
          <w:sz w:val="21"/>
          <w:szCs w:val="21"/>
          <w:lang w:eastAsia="zh-CN"/>
        </w:rPr>
        <w:t>，特殊情况已</w:t>
      </w:r>
      <w:r>
        <w:rPr>
          <w:rFonts w:hint="eastAsia" w:ascii="宋体" w:hAnsi="宋体" w:cs="宋体"/>
          <w:sz w:val="21"/>
          <w:szCs w:val="21"/>
          <w:lang w:val="en-US" w:eastAsia="zh-CN"/>
        </w:rPr>
        <w:t>采购人</w:t>
      </w:r>
      <w:r>
        <w:rPr>
          <w:rFonts w:hint="eastAsia" w:ascii="宋体" w:hAnsi="宋体" w:cs="宋体"/>
          <w:sz w:val="21"/>
          <w:szCs w:val="21"/>
          <w:lang w:eastAsia="zh-CN"/>
        </w:rPr>
        <w:t>通知为准，</w:t>
      </w:r>
      <w:r>
        <w:rPr>
          <w:rFonts w:hint="eastAsia" w:ascii="宋体" w:hAnsi="宋体" w:eastAsia="宋体" w:cs="宋体"/>
          <w:sz w:val="21"/>
          <w:szCs w:val="21"/>
        </w:rPr>
        <w:t>必须在</w:t>
      </w:r>
      <w:r>
        <w:rPr>
          <w:rFonts w:hint="eastAsia" w:ascii="宋体" w:hAnsi="宋体" w:cs="宋体"/>
          <w:sz w:val="21"/>
          <w:szCs w:val="21"/>
          <w:lang w:val="en-US" w:eastAsia="zh-CN"/>
        </w:rPr>
        <w:t>上述时间</w:t>
      </w:r>
      <w:r>
        <w:rPr>
          <w:rFonts w:hint="eastAsia" w:ascii="宋体" w:hAnsi="宋体" w:eastAsia="宋体" w:cs="宋体"/>
          <w:sz w:val="21"/>
          <w:szCs w:val="21"/>
        </w:rPr>
        <w:t>前把所配送的食品按质按量送达指定地点，由食堂工作人员验收核对后入库。超出约定时间30分钟，则将扣除当日货款10%违约处罚。如采购人对货物验收不合格导致退货的，退补货品需在</w:t>
      </w:r>
      <w:r>
        <w:rPr>
          <w:rFonts w:hint="eastAsia" w:ascii="宋体" w:hAnsi="宋体" w:cs="宋体"/>
          <w:sz w:val="21"/>
          <w:szCs w:val="21"/>
          <w:lang w:val="en-US" w:eastAsia="zh-CN"/>
        </w:rPr>
        <w:t>1</w:t>
      </w:r>
      <w:r>
        <w:rPr>
          <w:rFonts w:hint="eastAsia" w:ascii="宋体" w:hAnsi="宋体" w:eastAsia="宋体" w:cs="宋体"/>
          <w:sz w:val="21"/>
          <w:szCs w:val="21"/>
        </w:rPr>
        <w:t>小时内补给。</w:t>
      </w:r>
    </w:p>
    <w:p w14:paraId="29AFCF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3</w:t>
      </w:r>
      <w:r>
        <w:rPr>
          <w:rFonts w:hint="eastAsia" w:ascii="宋体" w:hAnsi="宋体" w:eastAsia="宋体" w:cs="宋体"/>
          <w:sz w:val="21"/>
          <w:szCs w:val="21"/>
        </w:rPr>
        <w:t>采购人有需临时加送菜品（提前</w:t>
      </w:r>
      <w:r>
        <w:rPr>
          <w:rFonts w:hint="eastAsia" w:ascii="宋体" w:hAnsi="宋体" w:cs="宋体"/>
          <w:sz w:val="21"/>
          <w:szCs w:val="21"/>
          <w:lang w:val="en-US" w:eastAsia="zh-CN"/>
        </w:rPr>
        <w:t>1</w:t>
      </w:r>
      <w:r>
        <w:rPr>
          <w:rFonts w:hint="eastAsia" w:ascii="宋体" w:hAnsi="宋体" w:eastAsia="宋体" w:cs="宋体"/>
          <w:sz w:val="21"/>
          <w:szCs w:val="21"/>
        </w:rPr>
        <w:t>小时通知供应商），</w:t>
      </w:r>
      <w:r>
        <w:rPr>
          <w:rFonts w:hint="eastAsia" w:ascii="宋体" w:hAnsi="宋体" w:cs="宋体"/>
          <w:sz w:val="21"/>
          <w:szCs w:val="21"/>
          <w:lang w:val="en-US" w:eastAsia="zh-CN"/>
        </w:rPr>
        <w:t>供应商</w:t>
      </w:r>
      <w:r>
        <w:rPr>
          <w:rFonts w:hint="eastAsia" w:ascii="宋体" w:hAnsi="宋体" w:eastAsia="宋体" w:cs="宋体"/>
          <w:sz w:val="21"/>
          <w:szCs w:val="21"/>
        </w:rPr>
        <w:t>在接到通知后1小时内送达</w:t>
      </w:r>
      <w:r>
        <w:rPr>
          <w:rFonts w:hint="eastAsia" w:ascii="宋体" w:hAnsi="宋体" w:cs="宋体"/>
          <w:sz w:val="21"/>
          <w:szCs w:val="21"/>
          <w:lang w:val="en-US" w:eastAsia="zh-CN"/>
        </w:rPr>
        <w:t>采购人</w:t>
      </w:r>
      <w:r>
        <w:rPr>
          <w:rFonts w:hint="eastAsia" w:ascii="宋体" w:hAnsi="宋体" w:eastAsia="宋体" w:cs="宋体"/>
          <w:sz w:val="21"/>
          <w:szCs w:val="21"/>
        </w:rPr>
        <w:t>食堂</w:t>
      </w:r>
      <w:r>
        <w:rPr>
          <w:rFonts w:hint="eastAsia" w:ascii="宋体" w:hAnsi="宋体" w:cs="宋体"/>
          <w:sz w:val="21"/>
          <w:szCs w:val="21"/>
          <w:lang w:eastAsia="zh-CN"/>
        </w:rPr>
        <w:t>，</w:t>
      </w:r>
      <w:r>
        <w:rPr>
          <w:rFonts w:hint="eastAsia" w:ascii="宋体" w:hAnsi="宋体" w:eastAsia="宋体" w:cs="宋体"/>
          <w:sz w:val="21"/>
          <w:szCs w:val="21"/>
        </w:rPr>
        <w:t>必须无条件按时送达。</w:t>
      </w:r>
    </w:p>
    <w:p w14:paraId="364445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4</w:t>
      </w:r>
      <w:r>
        <w:rPr>
          <w:rFonts w:hint="eastAsia" w:ascii="宋体" w:hAnsi="宋体" w:eastAsia="宋体" w:cs="宋体"/>
          <w:sz w:val="21"/>
          <w:szCs w:val="21"/>
        </w:rPr>
        <w:t>若有特殊情况，需提前通知采购人。在通知采购人后，供应商配送到达时间不得超过约定时间1小时；如供应商在规定时间内没有配送到，给采购人带来一切经济后果将由供应商承担。</w:t>
      </w:r>
    </w:p>
    <w:p w14:paraId="06E9FA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4、品牌及品种调整：</w:t>
      </w:r>
    </w:p>
    <w:p w14:paraId="305F103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如遇所投品牌或品种停止生产经营，或产地发生台风、海啸等不可抗力的自然灾害导致无法配送的，供应商负责举证并提出书面申请和相应的解决方案，采购人应当成立讨论小组商决应对方案。</w:t>
      </w:r>
    </w:p>
    <w:p w14:paraId="4BA0B5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采购人如需增加采购货品清单以外货物的，由供应商报价，报价不高于中农数据网该货物当天价格乘于折扣率。如遇中农数据网无相关报价的，以采购人组织到大型超市或农贸市场进行考察确定价格的合理性。</w:t>
      </w:r>
    </w:p>
    <w:p w14:paraId="189907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4.3采购人有权指定食品的品牌、质量、数量。</w:t>
      </w:r>
    </w:p>
    <w:p w14:paraId="43B4A9F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5、责任界定: </w:t>
      </w:r>
    </w:p>
    <w:p w14:paraId="02FD0B6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rPr>
        <w:t>供应商的食品必须符合国家有关部门规定的食品安全标准，如果因供应商所供货的食品造成采购单位就餐人员食物中毒的，经</w:t>
      </w:r>
      <w:r>
        <w:rPr>
          <w:rFonts w:hint="eastAsia" w:ascii="宋体" w:hAnsi="宋体"/>
          <w:szCs w:val="21"/>
        </w:rPr>
        <w:t>相关部门</w:t>
      </w:r>
      <w:r>
        <w:rPr>
          <w:rFonts w:hint="eastAsia" w:ascii="宋体" w:hAnsi="宋体" w:eastAsia="宋体" w:cs="宋体"/>
          <w:sz w:val="21"/>
          <w:szCs w:val="21"/>
        </w:rPr>
        <w:t>鉴定，属供应商责任，供应商须承担全部法律责任并作出全部的经济赔偿。</w:t>
      </w:r>
    </w:p>
    <w:p w14:paraId="4F919E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供应商的粗加工人员和配送人员在服务过程中如遇到人员伤亡事故由供应商负全部责任，与采购人无关。</w:t>
      </w:r>
    </w:p>
    <w:p w14:paraId="47AC79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6、其他要求：</w:t>
      </w:r>
    </w:p>
    <w:p w14:paraId="7EF67D8B">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★6.1供应商需提供专业服务人员</w:t>
      </w:r>
      <w:r>
        <w:rPr>
          <w:rFonts w:hint="eastAsia" w:ascii="宋体" w:hAnsi="宋体" w:eastAsia="宋体" w:cs="宋体"/>
          <w:b/>
          <w:bCs/>
          <w:sz w:val="21"/>
          <w:szCs w:val="21"/>
          <w:highlight w:val="yellow"/>
          <w:lang w:val="en-US" w:eastAsia="zh-CN"/>
        </w:rPr>
        <w:t>作为主要对接人员</w:t>
      </w:r>
      <w:r>
        <w:rPr>
          <w:rFonts w:hint="eastAsia" w:ascii="宋体" w:hAnsi="宋体" w:eastAsia="宋体" w:cs="宋体"/>
          <w:b/>
          <w:bCs/>
          <w:sz w:val="21"/>
          <w:szCs w:val="21"/>
          <w:highlight w:val="yellow"/>
        </w:rPr>
        <w:t>为本项目服务</w:t>
      </w:r>
      <w:r>
        <w:rPr>
          <w:rFonts w:hint="eastAsia" w:ascii="宋体" w:hAnsi="宋体" w:eastAsia="宋体" w:cs="宋体"/>
          <w:b/>
          <w:bCs/>
          <w:sz w:val="21"/>
          <w:szCs w:val="21"/>
          <w:highlight w:val="yellow"/>
          <w:lang w:eastAsia="zh-CN"/>
        </w:rPr>
        <w:t>，</w:t>
      </w:r>
      <w:r>
        <w:rPr>
          <w:rFonts w:hint="eastAsia" w:ascii="宋体" w:hAnsi="宋体" w:eastAsia="宋体" w:cs="宋体"/>
          <w:b/>
          <w:bCs/>
          <w:sz w:val="21"/>
          <w:szCs w:val="21"/>
          <w:highlight w:val="yellow"/>
          <w:lang w:val="en-US" w:eastAsia="zh-CN"/>
        </w:rPr>
        <w:t>人员应当满足服务事项或岗位正常履行要求</w:t>
      </w:r>
      <w:r>
        <w:rPr>
          <w:rFonts w:hint="eastAsia" w:ascii="宋体" w:hAnsi="宋体" w:eastAsia="宋体" w:cs="宋体"/>
          <w:b/>
          <w:bCs/>
          <w:sz w:val="21"/>
          <w:szCs w:val="21"/>
          <w:highlight w:val="yellow"/>
        </w:rPr>
        <w:t>。</w:t>
      </w:r>
    </w:p>
    <w:p w14:paraId="0B97B56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highlight w:val="yellow"/>
        </w:rPr>
        <w:t>★6.2供应商需提供专业服务人员作为粗加工人员和配送人员为本项目服务，供应商</w:t>
      </w:r>
      <w:r>
        <w:rPr>
          <w:rFonts w:hint="eastAsia" w:ascii="宋体" w:hAnsi="宋体" w:eastAsia="宋体" w:cs="宋体"/>
          <w:b/>
          <w:bCs/>
          <w:sz w:val="21"/>
          <w:szCs w:val="21"/>
          <w:highlight w:val="yellow"/>
          <w:lang w:eastAsia="zh-CN"/>
        </w:rPr>
        <w:t>根据采购人要求对肉类、禽类等产品进行分割、称重</w:t>
      </w:r>
      <w:r>
        <w:rPr>
          <w:rFonts w:hint="eastAsia" w:ascii="宋体" w:hAnsi="宋体" w:eastAsia="宋体" w:cs="宋体"/>
          <w:b/>
          <w:bCs/>
          <w:sz w:val="21"/>
          <w:szCs w:val="21"/>
          <w:highlight w:val="yellow"/>
        </w:rPr>
        <w:t>，粗加工处理后配送到食堂</w:t>
      </w:r>
      <w:r>
        <w:rPr>
          <w:rFonts w:hint="eastAsia" w:ascii="宋体" w:hAnsi="宋体" w:eastAsia="宋体" w:cs="宋体"/>
          <w:b/>
          <w:bCs/>
          <w:sz w:val="21"/>
          <w:szCs w:val="21"/>
          <w:highlight w:val="yellow"/>
          <w:lang w:eastAsia="zh-CN"/>
        </w:rPr>
        <w:t>，</w:t>
      </w:r>
      <w:r>
        <w:rPr>
          <w:rFonts w:hint="eastAsia" w:ascii="宋体" w:hAnsi="宋体" w:eastAsia="宋体" w:cs="宋体"/>
          <w:b/>
          <w:bCs/>
          <w:sz w:val="21"/>
          <w:szCs w:val="21"/>
          <w:highlight w:val="yellow"/>
          <w:lang w:val="en-US" w:eastAsia="zh-CN"/>
        </w:rPr>
        <w:t>人员应当满足服务事项或岗位正常履行要求</w:t>
      </w:r>
      <w:r>
        <w:rPr>
          <w:rFonts w:hint="eastAsia" w:ascii="宋体" w:hAnsi="宋体" w:eastAsia="宋体" w:cs="宋体"/>
          <w:b/>
          <w:bCs/>
          <w:sz w:val="21"/>
          <w:szCs w:val="21"/>
          <w:highlight w:val="yellow"/>
        </w:rPr>
        <w:t>。</w:t>
      </w:r>
    </w:p>
    <w:p w14:paraId="4B419A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6.3供应商派驻的加工人员应服从采购人的管理，遵守国家的有关法律法规。若有违反，采购人予以警告；屡禁不止，情节严重的，采购人有权单方解除服务合同且无需承担任何责任。</w:t>
      </w:r>
    </w:p>
    <w:p w14:paraId="1C2B58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4</w:t>
      </w:r>
      <w:r>
        <w:rPr>
          <w:rFonts w:hint="eastAsia" w:ascii="宋体" w:hAnsi="宋体" w:eastAsia="宋体" w:cs="宋体"/>
          <w:sz w:val="21"/>
          <w:szCs w:val="21"/>
        </w:rPr>
        <w:t>供应商定期附送科学健康饮食报刊。</w:t>
      </w:r>
    </w:p>
    <w:p w14:paraId="6B289B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5</w:t>
      </w:r>
      <w:r>
        <w:rPr>
          <w:rFonts w:hint="eastAsia" w:ascii="宋体" w:hAnsi="宋体" w:eastAsia="宋体" w:cs="宋体"/>
          <w:sz w:val="21"/>
          <w:szCs w:val="21"/>
        </w:rPr>
        <w:t>供应商定期有温馨提示，提示哪些蔬菜瓜果质量较差，哪些价格涨幅大等信息。</w:t>
      </w:r>
    </w:p>
    <w:p w14:paraId="48D9CDF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val="en-US" w:eastAsia="zh-CN"/>
        </w:rPr>
        <w:t>6</w:t>
      </w:r>
      <w:r>
        <w:rPr>
          <w:rFonts w:hint="eastAsia" w:ascii="宋体" w:hAnsi="宋体" w:eastAsia="宋体" w:cs="宋体"/>
          <w:sz w:val="21"/>
          <w:szCs w:val="21"/>
        </w:rPr>
        <w:t>若突发公共卫生事件、食品安全事件等，供应商须无条件配合采购人或相关部门要求进行调查，且按照相关要求执行配送服务。</w:t>
      </w:r>
    </w:p>
    <w:p w14:paraId="6B602EF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）质量管理要求</w:t>
      </w:r>
    </w:p>
    <w:p w14:paraId="0751E1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1、肉类（含生鲜猪、牛肉类、冻品、鱼类、熟食等）</w:t>
      </w:r>
    </w:p>
    <w:p w14:paraId="3EF39D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1.1供应产品质量要求:</w:t>
      </w:r>
    </w:p>
    <w:p w14:paraId="7DE1A2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所供货物应保持较好的外观和质量等级，符合国家食品部门的有关标准，保证无异味、无霉烂、无变质，肉类保证来源于深圳市正规肉屠宰场，供货时须提交屠宰场的验收单及当批次有效的动物检疫合格证复印件（原件备查）,保证经过肉检（卫生部门检疫）的新鲜肉，肉身必须盖有卫生检疫章。新鲜肉确保每日新鲜，为当天深圳市正规屠宰场宰杀的新鲜肉，肉品须表皮洁净，膘厚适中、色泽鲜亮、纹理清晰、肉质细腻、无异味、去骨、无毛、按压无水迹。冷冻肉要求肉体冻实而坚硬，无化冻现象，肉质紧密而有弹性，色泽均匀，不粘手，交货时干净、新鲜、无异味；冷冻鱼类要求鱼眼睛清亮，角膜透明，鳞片上覆有冻结的透明黏液层，皮肤天然色泽明显。</w:t>
      </w:r>
    </w:p>
    <w:p w14:paraId="5CEA2FA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1.1.2所有货物规格符合采购人提交的日采购计划中明确的具体需求。</w:t>
      </w:r>
    </w:p>
    <w:p w14:paraId="7B4E7C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1.1.3冷冻禽类食品解冻后净重量不少于 90％，冷冻肉类食品解冻后净重量不少于 92%，冷冻水产类食品解冻后净重量不少于 82%，解冻时间为 4 小时以内（室温 20℃）。所有冷冻食品要求清晰列出产品品牌、规格、类型、包装方式、包装净重、含冰量等相关参数。</w:t>
      </w:r>
    </w:p>
    <w:p w14:paraId="4E5E79A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1.1.4熟食包括烧鸡、烧鸭、烧鹅等。熟食（特别是鲜制熟食）它的保质期较短，保鲜要求高，供应的熟食需保证产品的品质。</w:t>
      </w:r>
    </w:p>
    <w:p w14:paraId="735DA5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1.1.5若采购人有要求，供应商应在采购人所要求的食堂附近25公里范围内设有合格固定的冷藏库。</w:t>
      </w:r>
    </w:p>
    <w:p w14:paraId="523065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1.1.6如供应商不能按时、保质、保量供货，由采购人自行采购，并承担采购人由此造成的经济损失和接受违约处罚。</w:t>
      </w:r>
    </w:p>
    <w:p w14:paraId="5BF9E7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1.1.7各供应商提供家禽类及肉制品应有《卫生检疫报告》、《产品合格证》资质证明。</w:t>
      </w:r>
    </w:p>
    <w:p w14:paraId="2CAB00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1.2产品配送要求：</w:t>
      </w:r>
    </w:p>
    <w:p w14:paraId="0EFA02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rPr>
        <w:t>食品运输必须采用符合卫生要求的外包装和运载工具，并且要保持清洁和定期消毒。运输车厢的内仓，包括地面、墙面和顶，应为抗腐蚀、防潮，防虫、防鼠的设计，车厢内无不良气味、异味。</w:t>
      </w:r>
    </w:p>
    <w:p w14:paraId="3BBEC8D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冷藏、冷冻食品必须用专用冷藏、冷冻载具运输，应当有必要的保温设备并在整个运输过程中保持安全的冷藏、冷冻温度。特别是对于长途运输的食品，保证食品在运输全过程处于合适的温度范围。</w:t>
      </w:r>
    </w:p>
    <w:p w14:paraId="52B777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1.2.3</w:t>
      </w:r>
      <w:r>
        <w:rPr>
          <w:rFonts w:hint="eastAsia" w:ascii="宋体" w:hAnsi="宋体" w:eastAsia="宋体" w:cs="宋体"/>
          <w:sz w:val="21"/>
          <w:szCs w:val="21"/>
        </w:rPr>
        <w:t>整个运输过程应科学合理，运输车辆应定期清洁，保持性能稳定，符合规定的温度要求，使运输食品处于恒定的环境中。</w:t>
      </w:r>
    </w:p>
    <w:p w14:paraId="6ACF3E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送货车辆实行1小时配送圈运作，在1小时内的用保温车配送，1小时以外的用制冷车配送，保证肉类中心温度控制在-2-7℃的范围之内，保证运输过程冷链不中断。商品到达目的地时外包装箱干爽，无软化现象。</w:t>
      </w:r>
    </w:p>
    <w:p w14:paraId="46627A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1.3卸货要求：</w:t>
      </w:r>
    </w:p>
    <w:p w14:paraId="37E181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1.3.1</w:t>
      </w:r>
      <w:r>
        <w:rPr>
          <w:rFonts w:hint="eastAsia" w:ascii="宋体" w:hAnsi="宋体" w:eastAsia="宋体" w:cs="宋体"/>
          <w:sz w:val="21"/>
          <w:szCs w:val="21"/>
        </w:rPr>
        <w:t>送货车辆应保持清洁；食品堆放科学合理，避免造成食品的交叉污染；如对温度有要求的食品应确定食品的温度，记录送货车辆温度，并记录存档。</w:t>
      </w:r>
    </w:p>
    <w:p w14:paraId="6BDE8B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w:t>
      </w:r>
      <w:r>
        <w:rPr>
          <w:rFonts w:hint="eastAsia" w:ascii="宋体" w:hAnsi="宋体" w:eastAsia="宋体" w:cs="宋体"/>
          <w:sz w:val="21"/>
          <w:szCs w:val="21"/>
        </w:rPr>
        <w:t>在本环节中应保证冷藏食品脱离冷链时间不得超过20分钟，冷冻食品脱离冷链时间不得超过30分钟。</w:t>
      </w:r>
    </w:p>
    <w:p w14:paraId="066C973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1.4.冻肉质量的基本检查：</w:t>
      </w:r>
    </w:p>
    <w:p w14:paraId="776937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1.4.1对冻肉类检查如下：</w:t>
      </w:r>
    </w:p>
    <w:p w14:paraId="1D57C0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27FC67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1.4.1.2冻肉类食品包装必须符合国家规范，采购的食品不得存放在有毒、有害的容器和承载物内。食品包装上必须使用原产地标识，应注明：制造商名称和厂址、食品名称和重（容）量、生产日期和保质期限以及规格和QS认证等。</w:t>
      </w:r>
    </w:p>
    <w:p w14:paraId="04389E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1.4.1.3对不符合采购要求的冻肉类食品由验收人员提出清退，如双方对质量争议的退货前应实行留板备案，可送深圳市或用户所在地地级市以上质监部门检测，对缺斤短两（或含冰量超标）的应按实际重量扣减。</w:t>
      </w:r>
    </w:p>
    <w:p w14:paraId="79008F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w:t>
      </w:r>
      <w:r>
        <w:rPr>
          <w:rFonts w:hint="eastAsia" w:ascii="宋体" w:hAnsi="宋体" w:eastAsia="宋体" w:cs="宋体"/>
          <w:sz w:val="21"/>
          <w:szCs w:val="21"/>
        </w:rPr>
        <w:t>冻肉类食品验收发现问题时的处理办法：</w:t>
      </w:r>
    </w:p>
    <w:p w14:paraId="251F31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4.2.1</w:t>
      </w:r>
      <w:r>
        <w:rPr>
          <w:rFonts w:hint="eastAsia" w:ascii="宋体" w:hAnsi="宋体" w:eastAsia="宋体" w:cs="宋体"/>
          <w:sz w:val="21"/>
          <w:szCs w:val="21"/>
        </w:rPr>
        <w:t>按后附产品质量描述对货物质量进行抽查</w:t>
      </w:r>
      <w:r>
        <w:rPr>
          <w:rFonts w:hint="eastAsia" w:ascii="宋体" w:hAnsi="宋体" w:eastAsia="宋体" w:cs="宋体"/>
          <w:sz w:val="21"/>
          <w:szCs w:val="21"/>
          <w:lang w:eastAsia="zh-CN"/>
        </w:rPr>
        <w:t>；</w:t>
      </w:r>
    </w:p>
    <w:p w14:paraId="31C104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4.2.2</w:t>
      </w:r>
      <w:r>
        <w:rPr>
          <w:rFonts w:hint="eastAsia" w:ascii="宋体" w:hAnsi="宋体" w:eastAsia="宋体" w:cs="宋体"/>
          <w:sz w:val="21"/>
          <w:szCs w:val="21"/>
        </w:rPr>
        <w:t>抽查发现食品安全质量问题的处理：对危及人身安全的食品质量问题采取零容忍措施，一经发现，当日所送同批次产品全部退货，如水产品中发现河豚鱼，发现腐败变质肉类等。若抽查未发现问题，而在加工食用前发现部分产品质量问题，应立即通知单位伙食物资验收小组及供应商，将问题产品退货处理。</w:t>
      </w:r>
    </w:p>
    <w:p w14:paraId="1F1563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1.4.3抽查发现资质证照不全问题的处理：</w:t>
      </w:r>
    </w:p>
    <w:p w14:paraId="2B852E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1.4.3.1整批产品无政府部门出具的动植物检疫合格证明的全部退货；</w:t>
      </w:r>
    </w:p>
    <w:p w14:paraId="43E4745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1.4.3.2抽查发现部分产品无政府部门出具的动植物检疫合格证明，加抽15%，两次抽 查数50%以上没有动植物检疫合格证明的，全部退货；50%以下没有动植物检疫合格证明的，将无动植物检疫合格证明的货物退货；</w:t>
      </w:r>
    </w:p>
    <w:p w14:paraId="1B9821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1.4.3.3整批产品有省地市出具的动植物检疫合格证明，随箱产品合格证不齐全的，加抽15%，两次抽查数50%以上没有产品合格证的，全部退货；50%以下没有产品合格证明的，将无产品合格证明的货物退货；</w:t>
      </w:r>
    </w:p>
    <w:p w14:paraId="44EE15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14:paraId="27A45D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1.5货物重量验收：</w:t>
      </w:r>
    </w:p>
    <w:p w14:paraId="68E007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1.5.1冻肉类：双方各随机抽取每品种货物一箱，去包装，在流动的10-25℃清水中浸泡解冻至表面冰层融化，个体能够分离为止，充分摊开货物沥水三分钟后称重，取双方抽取样本均值为该产品本批次种货物的验收重量。</w:t>
      </w:r>
    </w:p>
    <w:p w14:paraId="350B83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水产类：双方各随机抽取每品种货物两箱，去包装，在流动的10-25℃清水中浸泡解冻至表面冰层融化，个体能够分离为止，充分摊开货物沥水三分钟后称重，取双方抽取样本均值为该产品本批次种货物的验收重量。</w:t>
      </w:r>
    </w:p>
    <w:p w14:paraId="2D2ECC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1.5.3新鲜肉类、丸类、火腿、腊肠类等不含冰货物直接称重验收。</w:t>
      </w:r>
    </w:p>
    <w:tbl>
      <w:tblPr>
        <w:tblStyle w:val="22"/>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63"/>
        <w:gridCol w:w="1328"/>
        <w:gridCol w:w="752"/>
        <w:gridCol w:w="6235"/>
      </w:tblGrid>
      <w:tr w14:paraId="071FA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34A0603B">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1328" w:type="dxa"/>
            <w:shd w:val="clear" w:color="auto" w:fill="FFFFFF"/>
            <w:vAlign w:val="center"/>
          </w:tcPr>
          <w:p w14:paraId="48EB694B">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品名</w:t>
            </w:r>
          </w:p>
        </w:tc>
        <w:tc>
          <w:tcPr>
            <w:tcW w:w="752" w:type="dxa"/>
            <w:shd w:val="clear" w:color="auto" w:fill="FFFFFF"/>
            <w:vAlign w:val="center"/>
          </w:tcPr>
          <w:p w14:paraId="7DC32090">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规格</w:t>
            </w:r>
          </w:p>
        </w:tc>
        <w:tc>
          <w:tcPr>
            <w:tcW w:w="6235" w:type="dxa"/>
            <w:shd w:val="clear" w:color="auto" w:fill="FFFFFF"/>
            <w:vAlign w:val="center"/>
          </w:tcPr>
          <w:p w14:paraId="01E98C66">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质量要求</w:t>
            </w:r>
          </w:p>
        </w:tc>
      </w:tr>
      <w:tr w14:paraId="1C7FF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07B4CFB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w:t>
            </w:r>
          </w:p>
        </w:tc>
        <w:tc>
          <w:tcPr>
            <w:tcW w:w="1328" w:type="dxa"/>
            <w:shd w:val="clear" w:color="auto" w:fill="FFFFFF"/>
            <w:vAlign w:val="center"/>
          </w:tcPr>
          <w:p w14:paraId="3BD05707">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去皮五花肉</w:t>
            </w:r>
          </w:p>
        </w:tc>
        <w:tc>
          <w:tcPr>
            <w:tcW w:w="752" w:type="dxa"/>
            <w:shd w:val="clear" w:color="auto" w:fill="FFFFFF"/>
            <w:vAlign w:val="center"/>
          </w:tcPr>
          <w:p w14:paraId="622D6EF7">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095F514F">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肥瘦比例为3:7 （三线肉），肉呈均匀的红色，有光泽，肉质紧密富有弹性，有坚实感，用手指按压凹陷后会立即复原；肉的外表及 切面微湿润，不粘手，脂肪洁白，肉汁透明。</w:t>
            </w:r>
          </w:p>
        </w:tc>
      </w:tr>
      <w:tr w14:paraId="7368A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5E30F85B">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2</w:t>
            </w:r>
          </w:p>
        </w:tc>
        <w:tc>
          <w:tcPr>
            <w:tcW w:w="1328" w:type="dxa"/>
            <w:shd w:val="clear" w:color="auto" w:fill="FFFFFF"/>
            <w:vAlign w:val="center"/>
          </w:tcPr>
          <w:p w14:paraId="3BBAC52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去皮上肉</w:t>
            </w:r>
          </w:p>
        </w:tc>
        <w:tc>
          <w:tcPr>
            <w:tcW w:w="752" w:type="dxa"/>
            <w:shd w:val="clear" w:color="auto" w:fill="FFFFFF"/>
            <w:vAlign w:val="center"/>
          </w:tcPr>
          <w:p w14:paraId="4B297440">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0024C453">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肉呈均匀的红色，有光泽、肉质紧密，有坚实感；肉的外表及切面 微湿润，不粘手，脂肪洁白无霉点。</w:t>
            </w:r>
          </w:p>
        </w:tc>
      </w:tr>
      <w:tr w14:paraId="24F1A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31B9AF2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3</w:t>
            </w:r>
          </w:p>
        </w:tc>
        <w:tc>
          <w:tcPr>
            <w:tcW w:w="1328" w:type="dxa"/>
            <w:shd w:val="clear" w:color="auto" w:fill="FFFFFF"/>
            <w:vAlign w:val="center"/>
          </w:tcPr>
          <w:p w14:paraId="60EAD6A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鲜牛肉</w:t>
            </w:r>
          </w:p>
        </w:tc>
        <w:tc>
          <w:tcPr>
            <w:tcW w:w="752" w:type="dxa"/>
            <w:shd w:val="clear" w:color="auto" w:fill="FFFFFF"/>
            <w:vAlign w:val="center"/>
          </w:tcPr>
          <w:p w14:paraId="3D31BA9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4E63CEB7">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肉呈均匀的红色，有光泽，脂肪呈白色或微黄色，肌肉外表微干或 风干膜，或外表湿润，但不粘手，良质牛肉的肌肉结构紧密，有坚 实感，用手指按压凹陷后会立即复原，肌纤维韧性强。</w:t>
            </w:r>
          </w:p>
        </w:tc>
      </w:tr>
      <w:tr w14:paraId="02F13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75636C6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3</w:t>
            </w:r>
          </w:p>
        </w:tc>
        <w:tc>
          <w:tcPr>
            <w:tcW w:w="1328" w:type="dxa"/>
            <w:shd w:val="clear" w:color="auto" w:fill="FFFFFF"/>
            <w:vAlign w:val="center"/>
          </w:tcPr>
          <w:p w14:paraId="06ADC60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边鸡</w:t>
            </w:r>
          </w:p>
        </w:tc>
        <w:tc>
          <w:tcPr>
            <w:tcW w:w="752" w:type="dxa"/>
            <w:shd w:val="clear" w:color="auto" w:fill="FFFFFF"/>
            <w:vAlign w:val="center"/>
          </w:tcPr>
          <w:p w14:paraId="4B623DB5">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44EE0861">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整鸡表皮光滑，新鲜肥嫩，无头，无颈，无内脏，重约</w:t>
            </w:r>
            <w:r>
              <w:rPr>
                <w:rFonts w:hint="eastAsia" w:ascii="宋体" w:hAnsi="宋体" w:eastAsia="宋体" w:cs="宋体"/>
                <w:color w:val="000000"/>
                <w:sz w:val="21"/>
                <w:szCs w:val="21"/>
                <w:lang w:val="en-US" w:eastAsia="zh-CN" w:bidi="en-US"/>
              </w:rPr>
              <w:t>0.6-1</w:t>
            </w:r>
            <w:r>
              <w:rPr>
                <w:rFonts w:hint="eastAsia" w:ascii="宋体" w:hAnsi="宋体" w:eastAsia="宋体" w:cs="宋体"/>
                <w:color w:val="000000"/>
                <w:sz w:val="21"/>
                <w:szCs w:val="21"/>
                <w:lang w:eastAsia="zh-CN"/>
              </w:rPr>
              <w:t>公斤， 鸡肉的眼球饱满或平坦，皮肤有光泽，在品种不同而呈黄、浅黄、 淡红、灰白等色，肌肉切面有光泽，外表微湿润，不粘手。解冻指 压后的凹陷恢复慢，且不能完全恢复，具有鸡的正常气味。</w:t>
            </w:r>
          </w:p>
        </w:tc>
      </w:tr>
      <w:tr w14:paraId="63CC0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704CCAC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4</w:t>
            </w:r>
          </w:p>
        </w:tc>
        <w:tc>
          <w:tcPr>
            <w:tcW w:w="1328" w:type="dxa"/>
            <w:shd w:val="clear" w:color="auto" w:fill="FFFFFF"/>
            <w:vAlign w:val="center"/>
          </w:tcPr>
          <w:p w14:paraId="1E49BBFA">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白条鸡</w:t>
            </w:r>
          </w:p>
        </w:tc>
        <w:tc>
          <w:tcPr>
            <w:tcW w:w="752" w:type="dxa"/>
            <w:shd w:val="clear" w:color="auto" w:fill="FFFFFF"/>
            <w:vAlign w:val="center"/>
          </w:tcPr>
          <w:p w14:paraId="44051A7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668AB8C6">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整鸡表皮光滑，新鲜肥嫩，有头颈，有腿翅，无内脏，规格从</w:t>
            </w:r>
            <w:r>
              <w:rPr>
                <w:rFonts w:hint="eastAsia" w:ascii="宋体" w:hAnsi="宋体" w:eastAsia="宋体" w:cs="宋体"/>
                <w:color w:val="000000"/>
                <w:sz w:val="21"/>
                <w:szCs w:val="21"/>
                <w:lang w:val="en-US" w:eastAsia="zh-CN" w:bidi="en-US"/>
              </w:rPr>
              <w:t xml:space="preserve">0.6 </w:t>
            </w:r>
            <w:r>
              <w:rPr>
                <w:rFonts w:hint="eastAsia" w:ascii="宋体" w:hAnsi="宋体" w:eastAsia="宋体" w:cs="宋体"/>
                <w:color w:val="000000"/>
                <w:sz w:val="21"/>
                <w:szCs w:val="21"/>
                <w:lang w:eastAsia="zh-CN"/>
              </w:rPr>
              <w:t>公斤一1.5公斤，鸡肉的眼球饱满或平坦，皮肤有光泽，在品种不 同而呈黄、浅黄、淡红、灰白等色，肌肉切面有光泽，外表微湿润， 不粘手，解冻指压后的凹陷恢复慢。</w:t>
            </w:r>
          </w:p>
        </w:tc>
      </w:tr>
      <w:tr w14:paraId="166ED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788F7567">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5</w:t>
            </w:r>
          </w:p>
        </w:tc>
        <w:tc>
          <w:tcPr>
            <w:tcW w:w="1328" w:type="dxa"/>
            <w:shd w:val="clear" w:color="auto" w:fill="FFFFFF"/>
            <w:vAlign w:val="center"/>
          </w:tcPr>
          <w:p w14:paraId="52D8CA0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冻鸡腿</w:t>
            </w:r>
          </w:p>
        </w:tc>
        <w:tc>
          <w:tcPr>
            <w:tcW w:w="752" w:type="dxa"/>
            <w:shd w:val="clear" w:color="auto" w:fill="FFFFFF"/>
            <w:vAlign w:val="center"/>
          </w:tcPr>
          <w:p w14:paraId="43F5F88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0464C72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交货以干净、色泽均匀、无异味，大小适合规格要求为标准。</w:t>
            </w:r>
          </w:p>
        </w:tc>
      </w:tr>
      <w:tr w14:paraId="57C47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1C5C2FAF">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6</w:t>
            </w:r>
          </w:p>
        </w:tc>
        <w:tc>
          <w:tcPr>
            <w:tcW w:w="1328" w:type="dxa"/>
            <w:shd w:val="clear" w:color="auto" w:fill="FFFFFF"/>
            <w:vAlign w:val="center"/>
          </w:tcPr>
          <w:p w14:paraId="07610E66">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冻鸡尖</w:t>
            </w:r>
          </w:p>
        </w:tc>
        <w:tc>
          <w:tcPr>
            <w:tcW w:w="752" w:type="dxa"/>
            <w:shd w:val="clear" w:color="auto" w:fill="FFFFFF"/>
            <w:vAlign w:val="center"/>
          </w:tcPr>
          <w:p w14:paraId="6B49C170">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1F8C6A8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交货以干净、色泽均匀、无异味，大小适合规格要求为标准。</w:t>
            </w:r>
          </w:p>
        </w:tc>
      </w:tr>
      <w:tr w14:paraId="3021A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438D52C5">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7</w:t>
            </w:r>
          </w:p>
        </w:tc>
        <w:tc>
          <w:tcPr>
            <w:tcW w:w="1328" w:type="dxa"/>
            <w:shd w:val="clear" w:color="auto" w:fill="FFFFFF"/>
            <w:vAlign w:val="center"/>
          </w:tcPr>
          <w:p w14:paraId="10E0B256">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边鸭</w:t>
            </w:r>
          </w:p>
        </w:tc>
        <w:tc>
          <w:tcPr>
            <w:tcW w:w="752" w:type="dxa"/>
            <w:shd w:val="clear" w:color="auto" w:fill="FFFFFF"/>
            <w:vAlign w:val="center"/>
          </w:tcPr>
          <w:p w14:paraId="65F10E2A">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38335038">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表皮光滑，新鲜肥嫩，无头，无颈，无内脏，重约</w:t>
            </w:r>
            <w:r>
              <w:rPr>
                <w:rFonts w:hint="eastAsia" w:ascii="宋体" w:hAnsi="宋体" w:eastAsia="宋体" w:cs="宋体"/>
                <w:color w:val="000000"/>
                <w:sz w:val="21"/>
                <w:szCs w:val="21"/>
                <w:lang w:val="en-US" w:eastAsia="zh-CN" w:bidi="en-US"/>
              </w:rPr>
              <w:t>0.6</w:t>
            </w:r>
            <w:r>
              <w:rPr>
                <w:rFonts w:hint="eastAsia" w:ascii="宋体" w:hAnsi="宋体" w:eastAsia="宋体" w:cs="宋体"/>
                <w:color w:val="000000"/>
                <w:sz w:val="21"/>
                <w:szCs w:val="21"/>
                <w:lang w:eastAsia="zh-CN"/>
              </w:rPr>
              <w:t>-1公斤，外 表微湿润，不粘手，解冻指压后的凹陷恢复慢，且不能完全恢复， 具有鸭的正常气味。</w:t>
            </w:r>
          </w:p>
        </w:tc>
      </w:tr>
      <w:tr w14:paraId="148F2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340E31B0">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8</w:t>
            </w:r>
          </w:p>
        </w:tc>
        <w:tc>
          <w:tcPr>
            <w:tcW w:w="1328" w:type="dxa"/>
            <w:shd w:val="clear" w:color="auto" w:fill="FFFFFF"/>
            <w:vAlign w:val="center"/>
          </w:tcPr>
          <w:p w14:paraId="2D10BBE1">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白条鸭</w:t>
            </w:r>
          </w:p>
        </w:tc>
        <w:tc>
          <w:tcPr>
            <w:tcW w:w="752" w:type="dxa"/>
            <w:shd w:val="clear" w:color="auto" w:fill="FFFFFF"/>
            <w:vAlign w:val="center"/>
          </w:tcPr>
          <w:p w14:paraId="3DB4F8B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6A33703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表皮光滑，新鲜肥嫩，无内脏，每只不低于1公斤，鸭的眼球饱满 或平坦，皮肤有光泽，在品种不同而呈黄、浅黄、淡红、灰白等色， 肌肉切面有光泽，外表微湿润，不粘手，解冻指压后的凹陷恢复慢， 且不能完全恢复，具有鸭的正常气味。</w:t>
            </w:r>
          </w:p>
        </w:tc>
      </w:tr>
      <w:tr w14:paraId="78929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746A096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9</w:t>
            </w:r>
          </w:p>
        </w:tc>
        <w:tc>
          <w:tcPr>
            <w:tcW w:w="1328" w:type="dxa"/>
            <w:shd w:val="clear" w:color="auto" w:fill="FFFFFF"/>
            <w:vAlign w:val="center"/>
          </w:tcPr>
          <w:p w14:paraId="7E4FD5EB">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牛肉丸</w:t>
            </w:r>
          </w:p>
        </w:tc>
        <w:tc>
          <w:tcPr>
            <w:tcW w:w="752" w:type="dxa"/>
            <w:shd w:val="clear" w:color="auto" w:fill="FFFFFF"/>
            <w:vAlign w:val="center"/>
          </w:tcPr>
          <w:p w14:paraId="5D2F508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456DF5A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具有良好的弹性，水煮后用手捏应不轻易破裂,且手松开后能回复。 切开丸体其剖面应比较平整，不能有明显的冰晶状物。</w:t>
            </w:r>
          </w:p>
        </w:tc>
      </w:tr>
      <w:tr w14:paraId="7424F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5B55EDF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10</w:t>
            </w:r>
          </w:p>
        </w:tc>
        <w:tc>
          <w:tcPr>
            <w:tcW w:w="1328" w:type="dxa"/>
            <w:shd w:val="clear" w:color="auto" w:fill="FFFFFF"/>
            <w:vAlign w:val="center"/>
          </w:tcPr>
          <w:p w14:paraId="7870699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猪肉丸</w:t>
            </w:r>
          </w:p>
        </w:tc>
        <w:tc>
          <w:tcPr>
            <w:tcW w:w="752" w:type="dxa"/>
            <w:shd w:val="clear" w:color="auto" w:fill="FFFFFF"/>
            <w:vAlign w:val="center"/>
          </w:tcPr>
          <w:p w14:paraId="0354657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6F88978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具有良好的弹性，水煮后用手捏应不轻易破裂,且手松开后能回复。 切开丸体其剖面应比较平整，不能有明显的冰晶状物。</w:t>
            </w:r>
          </w:p>
        </w:tc>
      </w:tr>
      <w:tr w14:paraId="6C5F9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0676426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11</w:t>
            </w:r>
          </w:p>
        </w:tc>
        <w:tc>
          <w:tcPr>
            <w:tcW w:w="1328" w:type="dxa"/>
            <w:shd w:val="clear" w:color="auto" w:fill="FFFFFF"/>
            <w:vAlign w:val="center"/>
          </w:tcPr>
          <w:p w14:paraId="3D06078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鱼丸</w:t>
            </w:r>
          </w:p>
        </w:tc>
        <w:tc>
          <w:tcPr>
            <w:tcW w:w="752" w:type="dxa"/>
            <w:shd w:val="clear" w:color="auto" w:fill="FFFFFF"/>
            <w:vAlign w:val="center"/>
          </w:tcPr>
          <w:p w14:paraId="324E7011">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39780BC1">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具有良好的弹性，水煮后用水捏应不轻易破裂,且手松开后能回复。 切开丸体其剖面应比较完整，不能有明显的冰晶状物。</w:t>
            </w:r>
          </w:p>
        </w:tc>
      </w:tr>
      <w:tr w14:paraId="1EDE2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3105A37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12</w:t>
            </w:r>
          </w:p>
        </w:tc>
        <w:tc>
          <w:tcPr>
            <w:tcW w:w="1328" w:type="dxa"/>
            <w:shd w:val="clear" w:color="auto" w:fill="FFFFFF"/>
            <w:vAlign w:val="center"/>
          </w:tcPr>
          <w:p w14:paraId="1E0E8643">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方火腿</w:t>
            </w:r>
          </w:p>
        </w:tc>
        <w:tc>
          <w:tcPr>
            <w:tcW w:w="752" w:type="dxa"/>
            <w:shd w:val="clear" w:color="auto" w:fill="FFFFFF"/>
            <w:vAlign w:val="center"/>
          </w:tcPr>
          <w:p w14:paraId="57F4F986">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38A0A4D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表皮应干燥、皮质坚硬，火腿肌肉应是紧密且富有弹性，切面为深 红色、色泽均匀；无酸败味或其它异味。</w:t>
            </w:r>
          </w:p>
        </w:tc>
      </w:tr>
      <w:tr w14:paraId="41F05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763" w:type="dxa"/>
            <w:shd w:val="clear" w:color="auto" w:fill="FFFFFF"/>
            <w:vAlign w:val="center"/>
          </w:tcPr>
          <w:p w14:paraId="2B0606E0">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13</w:t>
            </w:r>
          </w:p>
        </w:tc>
        <w:tc>
          <w:tcPr>
            <w:tcW w:w="1328" w:type="dxa"/>
            <w:shd w:val="clear" w:color="auto" w:fill="FFFFFF"/>
            <w:vAlign w:val="center"/>
          </w:tcPr>
          <w:p w14:paraId="3E733A0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猪脚粒</w:t>
            </w:r>
          </w:p>
        </w:tc>
        <w:tc>
          <w:tcPr>
            <w:tcW w:w="752" w:type="dxa"/>
            <w:shd w:val="clear" w:color="auto" w:fill="FFFFFF"/>
            <w:vAlign w:val="center"/>
          </w:tcPr>
          <w:p w14:paraId="6DB098A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斤</w:t>
            </w:r>
          </w:p>
        </w:tc>
        <w:tc>
          <w:tcPr>
            <w:tcW w:w="6235" w:type="dxa"/>
            <w:shd w:val="clear" w:color="auto" w:fill="FFFFFF"/>
            <w:vAlign w:val="center"/>
          </w:tcPr>
          <w:p w14:paraId="62AFBB61">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必须去除一切毛污物，无异味，交货以干净、新鲜、大小适合规格 要求为标准。</w:t>
            </w:r>
          </w:p>
        </w:tc>
      </w:tr>
      <w:tr w14:paraId="1E459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jc w:val="center"/>
        </w:trPr>
        <w:tc>
          <w:tcPr>
            <w:tcW w:w="9078" w:type="dxa"/>
            <w:gridSpan w:val="4"/>
            <w:shd w:val="clear" w:color="auto" w:fill="FFFFFF"/>
            <w:vAlign w:val="center"/>
          </w:tcPr>
          <w:p w14:paraId="76AD7B62">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备注：表中未列明的项目，如采购人需要，经双方协商后由中标人供给。</w:t>
            </w:r>
          </w:p>
        </w:tc>
      </w:tr>
    </w:tbl>
    <w:p w14:paraId="4F9D61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2、蔬菜类要求：</w:t>
      </w:r>
    </w:p>
    <w:p w14:paraId="58FBE2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供应商每天的供应按采购人提出的品种要求和计划数量进行供应。属季节问题，若出现品种不能满足采购人需求的情况，可与采购人协商调换相应类别的品种（按叶菜、瓜菜等进行分类）。</w:t>
      </w:r>
    </w:p>
    <w:p w14:paraId="7EAF8AF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2.1货物质量要求：</w:t>
      </w:r>
    </w:p>
    <w:p w14:paraId="336C4B3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2.1.1</w:t>
      </w:r>
      <w:r>
        <w:rPr>
          <w:rFonts w:hint="eastAsia" w:ascii="宋体" w:hAnsi="宋体" w:eastAsia="宋体" w:cs="宋体"/>
          <w:sz w:val="21"/>
          <w:szCs w:val="21"/>
        </w:rPr>
        <w:t>从蔬菜色泽看，各种蔬菜都应具有本品种固有的颜色，大多数有发亮的光泽，以此显示蔬菜的成熟度及鲜嫩程度；</w:t>
      </w:r>
    </w:p>
    <w:p w14:paraId="39D61C3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从蔬菜气味看，多数蔬菜具有清馨、甘辛香、甜酸香等气味，可凭嗅觉识别不同品种的质量，不允许有腐烂变质的亚硝酸盐味和其他异常气味；</w:t>
      </w:r>
    </w:p>
    <w:p w14:paraId="7BBDEB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w:t>
      </w:r>
      <w:r>
        <w:rPr>
          <w:rFonts w:hint="eastAsia" w:ascii="宋体" w:hAnsi="宋体" w:eastAsia="宋体" w:cs="宋体"/>
          <w:sz w:val="21"/>
          <w:szCs w:val="21"/>
        </w:rPr>
        <w:t>从蔬菜滋味看，因品种不同而各异，多数蔬菜滋味甘淡、甜酸、清爽鲜美，少数具有辛酸、苦涩等特殊风味以刺激食欲，如失去本品种原有的滋味即为异常；</w:t>
      </w:r>
    </w:p>
    <w:p w14:paraId="3F0995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2.1.3</w:t>
      </w:r>
      <w:r>
        <w:rPr>
          <w:rFonts w:hint="eastAsia" w:ascii="宋体" w:hAnsi="宋体" w:eastAsia="宋体" w:cs="宋体"/>
          <w:sz w:val="21"/>
          <w:szCs w:val="21"/>
        </w:rPr>
        <w:t>从蔬菜形态看，应尽量避免由于客观因素而造成的各种非正常、不新鲜的蔬菜，例如萎蔫、枯塌、损伤、病变、虫害侵蚀等引起的形态异常等。</w:t>
      </w:r>
    </w:p>
    <w:p w14:paraId="467D5D3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2.2供应和管理要求</w:t>
      </w:r>
      <w:r>
        <w:rPr>
          <w:rFonts w:hint="eastAsia" w:ascii="宋体" w:hAnsi="宋体" w:eastAsia="宋体" w:cs="宋体"/>
          <w:sz w:val="21"/>
          <w:szCs w:val="21"/>
          <w:lang w:eastAsia="zh-CN"/>
        </w:rPr>
        <w:t>：</w:t>
      </w:r>
    </w:p>
    <w:p w14:paraId="71E1DDD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2.2.1蔬菜供应的品种安排（分主菜和配菜）。</w:t>
      </w:r>
    </w:p>
    <w:p w14:paraId="7B59D7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2.2.2配菜品种按采购人计划和要求的品种供应；</w:t>
      </w:r>
    </w:p>
    <w:p w14:paraId="37C4CC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2.2.3主菜品种由供求双方根据季节安排，但要确保每周有3个品种以上，每个品种。不少于2次，6-9月叶菜类不少于30％，其余时间叶菜类不少于50％。</w:t>
      </w:r>
    </w:p>
    <w:p w14:paraId="2794FC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2.2.4蔬菜包装与标志要求：包装。容器(框、箱、袋)要求清洁、干燥、牢固、透气，无污染、无异味、无霉变现象。标志。每件包装必须按《农产品包装和标识管理办法》贴标签，并标明产地、品种、净含量、生产单位及地址和采收日期。</w:t>
      </w:r>
    </w:p>
    <w:p w14:paraId="426965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2.2.5食品供应链要求：所有食品的来源必须清晰。蔬菜来源须为深圳市范围内的自有基地、商品菜基地或蔬菜专业流通市场，严禁收购散户农民的蔬菜供应。每天按照约定时间送到采购人指定地点。</w:t>
      </w:r>
    </w:p>
    <w:p w14:paraId="162F2EF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2.2.6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14:paraId="7CCD8750">
      <w:pPr>
        <w:pStyle w:val="1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 w:val="0"/>
          <w:bCs w:val="0"/>
          <w:caps w:val="0"/>
          <w:sz w:val="21"/>
          <w:szCs w:val="21"/>
        </w:rPr>
      </w:pPr>
      <w:r>
        <w:rPr>
          <w:rFonts w:hint="eastAsia" w:ascii="宋体" w:hAnsi="宋体" w:eastAsia="宋体" w:cs="宋体"/>
          <w:b w:val="0"/>
          <w:bCs w:val="0"/>
          <w:caps w:val="0"/>
          <w:sz w:val="21"/>
          <w:szCs w:val="21"/>
        </w:rPr>
        <w:t>2.2.7管理要求：菜地设有固定的农资存放场所，配有专用的农药喷洒用具及其他农用器具，施用农药有详尽记录，规定施药间隔期后采收；蔬菜采收后需用清洁、无污染的运输工具运抵加工地点。</w:t>
      </w:r>
    </w:p>
    <w:p w14:paraId="1216A7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2.2.8环境要求：菜地周围需设有隔离网、隔离带或其他有效的隔离措施，确保不受临近农田施肥和用药污染；菜地周围无养殖场、化工厂、垃圾处理场、医院以及污水排放管道等污染源。</w:t>
      </w:r>
    </w:p>
    <w:p w14:paraId="4A5704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2.2.9水源要求：菜地应有清洁无污染的灌溉水源；灌溉水井设有防护设施。灌溉水源需经检测验证符合规定要求，并一年内在蔬菜种植过程对水源进行2次监测。</w:t>
      </w:r>
    </w:p>
    <w:p w14:paraId="2C873E5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2.2.10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14:paraId="5F582F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2.3蔬菜卫生质量要求</w:t>
      </w:r>
      <w:r>
        <w:rPr>
          <w:rFonts w:hint="eastAsia" w:ascii="宋体" w:hAnsi="宋体" w:eastAsia="宋体" w:cs="宋体"/>
          <w:sz w:val="21"/>
          <w:szCs w:val="21"/>
          <w:lang w:eastAsia="zh-CN"/>
        </w:rPr>
        <w:t>：</w:t>
      </w:r>
    </w:p>
    <w:p w14:paraId="27B4FDD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卫生质量指标，应符合我国无公害蔬菜上的卫生指标规定。</w:t>
      </w:r>
    </w:p>
    <w:tbl>
      <w:tblPr>
        <w:tblStyle w:val="22"/>
        <w:tblW w:w="78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837"/>
        <w:gridCol w:w="3584"/>
        <w:gridCol w:w="1471"/>
      </w:tblGrid>
      <w:tr w14:paraId="1A902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6838D49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3584" w:type="dxa"/>
            <w:vAlign w:val="center"/>
          </w:tcPr>
          <w:p w14:paraId="35866C1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指标（mg/kg）</w:t>
            </w:r>
          </w:p>
        </w:tc>
        <w:tc>
          <w:tcPr>
            <w:tcW w:w="1471" w:type="dxa"/>
            <w:vAlign w:val="center"/>
          </w:tcPr>
          <w:p w14:paraId="5B920E2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26D37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18B041D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甲胺磷</w:t>
            </w:r>
          </w:p>
        </w:tc>
        <w:tc>
          <w:tcPr>
            <w:tcW w:w="3584" w:type="dxa"/>
            <w:vAlign w:val="center"/>
          </w:tcPr>
          <w:p w14:paraId="736CDAC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不得检出</w:t>
            </w:r>
          </w:p>
        </w:tc>
        <w:tc>
          <w:tcPr>
            <w:tcW w:w="1471" w:type="dxa"/>
            <w:vAlign w:val="center"/>
          </w:tcPr>
          <w:p w14:paraId="7586241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38394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23A0B30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甲拌磷</w:t>
            </w:r>
          </w:p>
        </w:tc>
        <w:tc>
          <w:tcPr>
            <w:tcW w:w="3584" w:type="dxa"/>
            <w:vAlign w:val="center"/>
          </w:tcPr>
          <w:p w14:paraId="194FBBE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不得检出</w:t>
            </w:r>
          </w:p>
        </w:tc>
        <w:tc>
          <w:tcPr>
            <w:tcW w:w="1471" w:type="dxa"/>
            <w:vAlign w:val="center"/>
          </w:tcPr>
          <w:p w14:paraId="72F621E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7EFF2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08787E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氧化乐果</w:t>
            </w:r>
          </w:p>
        </w:tc>
        <w:tc>
          <w:tcPr>
            <w:tcW w:w="3584" w:type="dxa"/>
            <w:vAlign w:val="center"/>
          </w:tcPr>
          <w:p w14:paraId="057E508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不得检出</w:t>
            </w:r>
          </w:p>
        </w:tc>
        <w:tc>
          <w:tcPr>
            <w:tcW w:w="1471" w:type="dxa"/>
            <w:vAlign w:val="center"/>
          </w:tcPr>
          <w:p w14:paraId="6D9A192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7B5B0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0D201EF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甲基对硫磷</w:t>
            </w:r>
          </w:p>
        </w:tc>
        <w:tc>
          <w:tcPr>
            <w:tcW w:w="3584" w:type="dxa"/>
            <w:vAlign w:val="center"/>
          </w:tcPr>
          <w:p w14:paraId="7BC68B7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不得检出</w:t>
            </w:r>
          </w:p>
        </w:tc>
        <w:tc>
          <w:tcPr>
            <w:tcW w:w="1471" w:type="dxa"/>
            <w:vAlign w:val="center"/>
          </w:tcPr>
          <w:p w14:paraId="487F4E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36F22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6207C04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呋喃丹</w:t>
            </w:r>
          </w:p>
        </w:tc>
        <w:tc>
          <w:tcPr>
            <w:tcW w:w="3584" w:type="dxa"/>
            <w:vAlign w:val="center"/>
          </w:tcPr>
          <w:p w14:paraId="489D108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不得检出</w:t>
            </w:r>
          </w:p>
        </w:tc>
        <w:tc>
          <w:tcPr>
            <w:tcW w:w="1471" w:type="dxa"/>
            <w:vAlign w:val="center"/>
          </w:tcPr>
          <w:p w14:paraId="52500F3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1F57F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733073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百菌清</w:t>
            </w:r>
          </w:p>
        </w:tc>
        <w:tc>
          <w:tcPr>
            <w:tcW w:w="3584" w:type="dxa"/>
            <w:vAlign w:val="center"/>
          </w:tcPr>
          <w:p w14:paraId="3505E50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471" w:type="dxa"/>
            <w:vAlign w:val="center"/>
          </w:tcPr>
          <w:p w14:paraId="3AA2F4E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3E041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45F3570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多菌灵</w:t>
            </w:r>
          </w:p>
        </w:tc>
        <w:tc>
          <w:tcPr>
            <w:tcW w:w="3584" w:type="dxa"/>
            <w:vAlign w:val="center"/>
          </w:tcPr>
          <w:p w14:paraId="578C5D8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1471" w:type="dxa"/>
            <w:vAlign w:val="center"/>
          </w:tcPr>
          <w:p w14:paraId="15819D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2527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0CD4AA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汞（以Hg计）</w:t>
            </w:r>
          </w:p>
        </w:tc>
        <w:tc>
          <w:tcPr>
            <w:tcW w:w="3584" w:type="dxa"/>
            <w:vAlign w:val="center"/>
          </w:tcPr>
          <w:p w14:paraId="38145AD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w:t>
            </w:r>
          </w:p>
        </w:tc>
        <w:tc>
          <w:tcPr>
            <w:tcW w:w="1471" w:type="dxa"/>
            <w:vAlign w:val="center"/>
          </w:tcPr>
          <w:p w14:paraId="7000799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3EB29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1F0C6D9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铅（以Pb计）</w:t>
            </w:r>
          </w:p>
        </w:tc>
        <w:tc>
          <w:tcPr>
            <w:tcW w:w="3584" w:type="dxa"/>
            <w:vAlign w:val="center"/>
          </w:tcPr>
          <w:p w14:paraId="1E6808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≤0.2</w:t>
            </w:r>
          </w:p>
        </w:tc>
        <w:tc>
          <w:tcPr>
            <w:tcW w:w="1471" w:type="dxa"/>
            <w:vAlign w:val="center"/>
          </w:tcPr>
          <w:p w14:paraId="7BE782D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68CCC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6D38E4B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砷（以As计）</w:t>
            </w:r>
          </w:p>
        </w:tc>
        <w:tc>
          <w:tcPr>
            <w:tcW w:w="3584" w:type="dxa"/>
            <w:vAlign w:val="center"/>
          </w:tcPr>
          <w:p w14:paraId="6F79C6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1471" w:type="dxa"/>
            <w:vAlign w:val="center"/>
          </w:tcPr>
          <w:p w14:paraId="2BEA484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2BB25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484729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氟（以F计）</w:t>
            </w:r>
          </w:p>
        </w:tc>
        <w:tc>
          <w:tcPr>
            <w:tcW w:w="3584" w:type="dxa"/>
            <w:vAlign w:val="center"/>
          </w:tcPr>
          <w:p w14:paraId="11AC73E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1471" w:type="dxa"/>
            <w:vAlign w:val="center"/>
          </w:tcPr>
          <w:p w14:paraId="6FF5C85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46F00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789ACA1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硝酸盐（以NaNO3计）</w:t>
            </w:r>
          </w:p>
        </w:tc>
        <w:tc>
          <w:tcPr>
            <w:tcW w:w="3584" w:type="dxa"/>
            <w:vAlign w:val="center"/>
          </w:tcPr>
          <w:p w14:paraId="29E7578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瓜果类≤600；叶菜根茎类≤120</w:t>
            </w:r>
          </w:p>
        </w:tc>
        <w:tc>
          <w:tcPr>
            <w:tcW w:w="1471" w:type="dxa"/>
            <w:vAlign w:val="center"/>
          </w:tcPr>
          <w:p w14:paraId="5D597B0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r w14:paraId="2EE3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837" w:type="dxa"/>
            <w:vAlign w:val="center"/>
          </w:tcPr>
          <w:p w14:paraId="6CA74CB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亚硝酸盐（以NaNO2计）</w:t>
            </w:r>
          </w:p>
        </w:tc>
        <w:tc>
          <w:tcPr>
            <w:tcW w:w="3584" w:type="dxa"/>
            <w:vAlign w:val="center"/>
          </w:tcPr>
          <w:p w14:paraId="72534F6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471" w:type="dxa"/>
            <w:vAlign w:val="center"/>
          </w:tcPr>
          <w:p w14:paraId="26C842B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1"/>
                <w:szCs w:val="21"/>
              </w:rPr>
            </w:pPr>
          </w:p>
        </w:tc>
      </w:tr>
    </w:tbl>
    <w:p w14:paraId="6CC7462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2.4蔬菜验收时发现问题的处理方法：</w:t>
      </w:r>
    </w:p>
    <w:p w14:paraId="637EFD3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2.4.1按后附产品质量描述对货物质量进行抽查。</w:t>
      </w:r>
    </w:p>
    <w:p w14:paraId="008B1D7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2.4.2抽查发现食品安全质量问题的处理：对危及人身安全的食品质量问题采取零容忍措施，一经发现，当日所送同批次产品全部退货，如水产品中发现农药残留超标，发现腐败变质蔬菜等。若抽查未发现问题，而在加工食用前发现部分产品质量问题，应立即通知单位伙食物资验收小组及供应商，将问题产品退货处理。</w:t>
      </w:r>
    </w:p>
    <w:p w14:paraId="58817B1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3、干货类</w:t>
      </w:r>
    </w:p>
    <w:p w14:paraId="4D3B1F3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3.1供应产品质量要求：</w:t>
      </w:r>
    </w:p>
    <w:p w14:paraId="1C197AF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3.1.1供应商所提供产品质量必须要符合行业标准要求，不得有掺假、变质、变味、过期等现象出现，严禁伪劣、假冒、无证不合格物品进入仓库。</w:t>
      </w:r>
    </w:p>
    <w:p w14:paraId="4544D67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3.1.2供应商所提供产品必须价格合理，应按照投标报价供给，否则需方有权不用。</w:t>
      </w:r>
    </w:p>
    <w:p w14:paraId="53171AE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3.1.3供应商在供应过程中，如果发生出现质量问题或造成食物中毒，如变质等情况，经查实后确属供方 责任，供应商应承担全部责任，主要包括食物中毒人员医疗费、误工费、事故处理费等，直至追究刑事责任。</w:t>
      </w:r>
    </w:p>
    <w:p w14:paraId="6FBA178F">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3.2干货类质量要求：</w:t>
      </w:r>
    </w:p>
    <w:p w14:paraId="3C6627E9">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3.2.1干货制品的质量基本标准要求符合国家相关行业标准，干爽，不霉烂、整齐、均匀、完整，无虫 蛀、无杂质，保持应有的色泽。确保产品质量稳定，保证营养丰富、绿色安全、海味浓郁、易存放、 食用方便，保质期长。从加工、包装、运输、贮存到销售全部符合国家规定标准。尤其是二氧化硫残 留量、总砷含量不超过国家卫生标准；木耳类的水分含量不能超过国家标准要求，采购方可根据实际情况对需要的干货制品进行品质抽检，对质量未达到国家标准的干货制品采购人有权拒绝接受。</w:t>
      </w:r>
    </w:p>
    <w:p w14:paraId="18668DAA">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3.3几种主要干货制品的质量标准：</w:t>
      </w:r>
    </w:p>
    <w:p w14:paraId="4844DE00">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3.3.1肉皮：作为干肉皮，无论什么部位，体表洁净无毛，白亮无残余肥膘，无虫蛀，干爽，敲击时响声清脆，质量均匀为好，反之则为次之，如已发霉，并有哈喇味，即已变质。</w:t>
      </w:r>
    </w:p>
    <w:p w14:paraId="691D80B5">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3.3.2玉兰片：玉兰片以色泽黄白、洁净、肉厚、纤维少、节较密、体长不超过 10~17cm 的为最好，肉薄节疏、纤维多而粗老的质量较差。</w:t>
      </w:r>
    </w:p>
    <w:p w14:paraId="0A2ABAD3">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3.3.3黄花菜：又名金针菜，干燥、有清香味，菜色黄亮、身条长而粗壮、条杆粗细均匀者为佳。</w:t>
      </w:r>
    </w:p>
    <w:p w14:paraId="44E6A371">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3.3.4黑木耳：黑木耳的质量一般以条形大而完整，耳瓣舒展少卷曲，内厚黑，富于光泽，体干不霉，无杂质和碎者为优，反之则差。</w:t>
      </w:r>
    </w:p>
    <w:p w14:paraId="6BCB2D3B">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4741A8AE">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3.3.6香菇：根据采收季节和形状不同，香菇又分为花菇、厚菇、薄菇和菇丁四类，其中以花菇质量 最好，厚菇次之，薄菇更差，菇丁质量最差。</w:t>
      </w:r>
    </w:p>
    <w:p w14:paraId="5EC69582">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A、花菇：朵小柄短，呈半球状，菇伞顶面有似菊花似的白色裂纹，肉厚、菌盖色泽淡黑，菇底 褶，通过加工呈淡黄色，身干、质嫩、有芳香气味者为质好好香菇。 </w:t>
      </w:r>
    </w:p>
    <w:p w14:paraId="59D57361">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B、厚菇：形状如伞，顶面无花纹，呈黑色并略有光泽，质嫩、肉厚、朵稍大，质量稍次。 </w:t>
      </w:r>
    </w:p>
    <w:p w14:paraId="10F86847">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C、薄菇：形状扁平、开伞、朵大、肉薄、菌盖表面浅褐色，菌褐白色，菌柄稍高，浅咖啡色， 基部稍带红色或红褐色，质量比花菇厚，菇差，味淡。 </w:t>
      </w:r>
    </w:p>
    <w:p w14:paraId="17351E84">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D、菇丁：是指未充分发育的香菇，个小，直径在 2cm 以下，味淡质差。</w:t>
      </w:r>
    </w:p>
    <w:p w14:paraId="5347A840">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3.3.7腐竹：腐竹又名豆腐皮和油皮，有一、二、三级品之分。 一极品：色泽黄亮、干燥筋韧、耐贮、无碎块。 二极品：颜色较一极品灰黄、干燥无碎块。 三极品：颜色更灰黄、无光泽、易碎、筋韧性差。</w:t>
      </w:r>
    </w:p>
    <w:p w14:paraId="724E9842">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3.3.8粉丝：质量好的粉丝，粉条细长、白净、晶莹透明、丝条均匀、整齐、干燥，不易折断，无斑点、黑迹，无霉变，有粉丝特有的光泽。</w:t>
      </w:r>
    </w:p>
    <w:p w14:paraId="3438BE2D">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3.3.9蹄筋：猪蹄筋的质量首先从蹄筋抽取的部位区别，后蹄筋体长而圆、粗状、光滑的品质好。前蹄筋体短而扁细、品质较差、保管完好的蹄筋应呈白色、无杂质，干、硬度高。</w:t>
      </w:r>
    </w:p>
    <w:p w14:paraId="7DD37518">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3.3.10干贝：上等干贝粒大完整、黄亮干燥、肉质饱满，肉丝清晰、粗且有特殊香气。粒小、碎破、色淡无光泽者较次。破碎、发黑发霉的为变质品。</w:t>
      </w:r>
    </w:p>
    <w:p w14:paraId="249268D2">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3.3.11鱿鱼：市场上常见的鱿鱼有椭圆形和长方形，选购时应注意：体干、体形完整、光亮洁净、淡 粉红色、片大头小、肉厚者为优。体形部分卷曲，尾部和背部红中透暗，两侧有微红点、体小 而宽、肉薄者为次品。</w:t>
      </w:r>
    </w:p>
    <w:p w14:paraId="49549B18">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3.3.12海蛰：海蛰是由水母加工制成，选购时应注意色泽，以乳白色或淡黄色、气味清新、质厚均匀、个体完整、块大、无血黑（体肉红皮）有光泽的为上品，带有膜状血衣的为次品。</w:t>
      </w:r>
    </w:p>
    <w:p w14:paraId="122D2A65">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3.3.13紫菜：属海产红藻类植物，因鲜紫菜叶较宽大，经干制成长方块形，散片状卷筒，其中以卷筒形柔嫩微脆、叶薄、色紫清香鲜美的为品质优。</w:t>
      </w:r>
    </w:p>
    <w:p w14:paraId="304A9198">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3.3.14发菜：发菜是陆生褐色藻类，以藻体细长、绿黑色、柔软爽滑、干燥、无杂质的质量为优，反之则劣。</w:t>
      </w:r>
    </w:p>
    <w:p w14:paraId="41C29AA5">
      <w:pPr>
        <w:keepNext w:val="0"/>
        <w:keepLines w:val="0"/>
        <w:pageBreakBefore w:val="0"/>
        <w:widowControl w:val="0"/>
        <w:tabs>
          <w:tab w:val="right" w:pos="8280"/>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3.3.15鱼肚：其标准一般为体大整齐、肚厚、身干、光洁明亮、无虫蛀腐者好；灰暗、肉薄、体小则次之，有虫蛀、颜色发黑、变霉则为变质品。</w:t>
      </w:r>
    </w:p>
    <w:p w14:paraId="6AB8DB22">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）供应商管理要求</w:t>
      </w:r>
    </w:p>
    <w:p w14:paraId="5ABB729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必须依据国家有关法律法规要求建立健全各项管理制度，保证食品安全，有明确的食品安全责任人。因所供货物质量原因导致所内发生食品安全事故，除解除合同外，供应商还需赔偿采购单位救治经费及误工损失。</w:t>
      </w:r>
    </w:p>
    <w:p w14:paraId="5BC52B2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、供应商应定期对送货车辆进清洗消杀，加强对食材物资供货前包装环节的防疫消杀。</w:t>
      </w:r>
    </w:p>
    <w:p w14:paraId="5D2C110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、供应商应做好本单位工作人员的教育工作，遵守采购单位出入门岗和物品携带等各项规定。</w:t>
      </w:r>
    </w:p>
    <w:p w14:paraId="1A3BFAF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、按合同约定的标的供货，中标人不得转包、分包，否则采购单位有权单方面终止合同，项目另行处理，供应商承担由此造成的经济损失。</w:t>
      </w:r>
    </w:p>
    <w:p w14:paraId="0ABA41E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供应商应严格按招标要求（含品种、质量等）供应，不得变更供应商品，否则，采购单位有权退货。应严格按招标单位要求（含名称、产地、规格和重量等）供应，否则，采购人有权拒收。若因特殊情况（如商家停产或天气因素等）确实需要变更的个别商品，经采购人同意，必须以质量较高的同类商品代替。</w:t>
      </w:r>
    </w:p>
    <w:p w14:paraId="2652665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、投标文件中必须明确各类食品产品质量安全的责任人（须已在投标人单位购买社保，相关资料复印件在投标文件中提供）。</w:t>
      </w:r>
    </w:p>
    <w:p w14:paraId="2559E35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供应商除不可抗力，不得因其他任何理由延迟送货。采购人如遇特殊情况需推迟送货，应提前通知中标方。因供应商原因延误交货日期的（采购人要求推迟的除外），采购人有权自行采购，并由供应商承担由此产生的一切损失和费用。</w:t>
      </w:r>
    </w:p>
    <w:p w14:paraId="004B41B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、采购人对货物进行认真验收，对不符合规格要求的商品，供应商必须无条件退货。供应商未能履行招标文件和合同所定事项， 或供应不合格的、假冒伪劣、以次充好的商品、或供货时的商品与中标时的样板不符，采购人退货后将记录在案，并对供应商予以处罚，除要承担因此产生的一切损失和费用外，情节严重的可取消其供应资格。</w:t>
      </w:r>
    </w:p>
    <w:p w14:paraId="41F937A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、供应商须开具国家正式增值税发票（含餐饮发票）。</w:t>
      </w:r>
    </w:p>
    <w:p w14:paraId="4A2F1BA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、中标人退场管理</w:t>
      </w:r>
      <w:r>
        <w:rPr>
          <w:rFonts w:hint="eastAsia" w:ascii="宋体" w:hAnsi="宋体" w:eastAsia="宋体" w:cs="宋体"/>
          <w:sz w:val="21"/>
          <w:szCs w:val="21"/>
          <w:highlight w:val="none"/>
          <w:lang w:eastAsia="zh-CN"/>
        </w:rPr>
        <w:t>：</w:t>
      </w:r>
    </w:p>
    <w:p w14:paraId="25E3AED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.1中标人造成安全（监管和食品卫生）事故的直接取消中标供应资格退场，并对此造成采购单位救治损失、误工费用等（包括但不限于上述损失）进行经济赔偿；</w:t>
      </w:r>
    </w:p>
    <w:p w14:paraId="3D00B87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.2中标人在考核周期内有2次履约评价扣分20分（含）-40分，或有1次履约评价扣分40及以上的直接取消中标供应资格退场，并支付采购单位相当于合同预算上限总额20%的违约金。</w:t>
      </w:r>
    </w:p>
    <w:p w14:paraId="7DF75BC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3食品溯源要求：对食品供应链进行明确，所有食品的来源必须清晰，尽量使用知名品牌，包装食品要有QS标志。食品生产企业必须获得工业产品生产许可证（QS）来源应当是受到地方政府部门监管的业流通市场或具有相关资质的厂家生产，生产食品的源头与供应商要有固定的合法的供应关系，严禁收购非标准产品供应。标书要求对食品的来源和质量标准要有详尽的描述，验收须按国家标准和感官标准。供应商应保存以下资料：</w:t>
      </w:r>
    </w:p>
    <w:p w14:paraId="5B36887F">
      <w:pPr>
        <w:keepNext w:val="0"/>
        <w:keepLines w:val="0"/>
        <w:pageBreakBefore w:val="0"/>
        <w:widowControl w:val="0"/>
        <w:tabs>
          <w:tab w:val="left" w:pos="851"/>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4采购人根据实际需要提前（以合同约定时间为准）以传真、电话等方式将下周需求通知供应商，供应商在接到通知后备齐货物，按时送抵交货地点。供应商不能按时、保质、保量供货，由采购人自行采购，并承担采购人由此造成的经济损失和接受违约处罚。</w:t>
      </w:r>
    </w:p>
    <w:p w14:paraId="0A9C547C">
      <w:pPr>
        <w:keepNext w:val="0"/>
        <w:keepLines w:val="0"/>
        <w:pageBreakBefore w:val="0"/>
        <w:widowControl w:val="0"/>
        <w:numPr>
          <w:ilvl w:val="0"/>
          <w:numId w:val="0"/>
        </w:numPr>
        <w:tabs>
          <w:tab w:val="left" w:pos="851"/>
        </w:tabs>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highlight w:val="none"/>
          <w:lang w:val="en-US" w:eastAsia="zh-CN"/>
        </w:rPr>
        <w:t>其他要求提供的内容：</w:t>
      </w:r>
    </w:p>
    <w:p w14:paraId="0482BE6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供应商与生产企业的销售合同；</w:t>
      </w:r>
    </w:p>
    <w:p w14:paraId="2218E9F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生产企业的送货单和销售发票；</w:t>
      </w:r>
    </w:p>
    <w:p w14:paraId="512BA0B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供应商与采购方的采购合同及送货单据、销售发票。</w:t>
      </w:r>
    </w:p>
    <w:p w14:paraId="5A4015BD">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）实施要求及监督管理</w:t>
      </w:r>
    </w:p>
    <w:p w14:paraId="25DD4D85">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1、中标供应商应按照招标要求、投标承诺及合同约定全面真实履约，接受采购单位和社会各界的监督。</w:t>
      </w:r>
    </w:p>
    <w:p w14:paraId="43C4969B">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标供应商应将所承接的采购项目材料整理归档，妥善保管，以备查用，档案材料至少包括项目合同、项目专项服务小组成员表、价格调查情况表（需双方签字）等，并按季度向采购人递交书面的采购项目执行情况。使用单位负责对服务供应商提供的服务进行验收和履约评价，采用跟单反馈方式严格考核中标供应商履约情况。</w:t>
      </w:r>
    </w:p>
    <w:p w14:paraId="0D3F0265">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3、监管部门组织对中标供应商合同履约情况进行定期或不定期的监督检查，必要时可邀请权威专业机构协助检查，中标供应商应积极配合，并按照要求如实反映情况，提供材料。    </w:t>
      </w:r>
    </w:p>
    <w:p w14:paraId="39F596A2">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4、中标供应商在合同执行期间，有下列情况之一的，经查属实，采购单位有权取消其本次中标资格</w:t>
      </w:r>
      <w:r>
        <w:rPr>
          <w:rFonts w:hint="eastAsia" w:ascii="宋体" w:hAnsi="宋体" w:cs="宋体"/>
          <w:sz w:val="21"/>
          <w:szCs w:val="21"/>
          <w:highlight w:val="none"/>
          <w:lang w:eastAsia="zh-CN"/>
        </w:rPr>
        <w:t>，并按规定追穷责任（存在主观故意）</w:t>
      </w:r>
      <w:r>
        <w:rPr>
          <w:rFonts w:hint="eastAsia" w:ascii="宋体" w:hAnsi="宋体" w:eastAsia="宋体" w:cs="宋体"/>
          <w:sz w:val="21"/>
          <w:szCs w:val="21"/>
          <w:highlight w:val="none"/>
        </w:rPr>
        <w:t>：</w:t>
      </w:r>
    </w:p>
    <w:p w14:paraId="76135D15">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4.1弄虚作假、隐瞒真实情况骗取</w:t>
      </w:r>
      <w:r>
        <w:rPr>
          <w:rFonts w:hint="eastAsia"/>
          <w:lang w:val="en-US" w:eastAsia="zh-CN"/>
        </w:rPr>
        <w:t>中标</w:t>
      </w:r>
      <w:r>
        <w:rPr>
          <w:rFonts w:hint="eastAsia" w:ascii="宋体" w:hAnsi="宋体" w:eastAsia="宋体" w:cs="宋体"/>
          <w:sz w:val="21"/>
          <w:szCs w:val="21"/>
          <w:highlight w:val="none"/>
        </w:rPr>
        <w:t>资格的；</w:t>
      </w:r>
    </w:p>
    <w:p w14:paraId="33CCB507">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4.2非法手段排斥其他供应商参与竞争的；</w:t>
      </w:r>
    </w:p>
    <w:p w14:paraId="77749475">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4.3违反规定、约定的，或者挂靠的；</w:t>
      </w:r>
    </w:p>
    <w:p w14:paraId="4F8CB209">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4.4恶意质疑投诉的；</w:t>
      </w:r>
    </w:p>
    <w:p w14:paraId="54067582">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4.5因其公司资质降低达不到入围供应商资质条件的，或被行业主管部门责令停业或取消资质的；</w:t>
      </w:r>
    </w:p>
    <w:p w14:paraId="54F9191D">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4.6拖欠工人工资、经劳动或其他政府部门催告或通报仍不清偿的；</w:t>
      </w:r>
    </w:p>
    <w:p w14:paraId="0D2CCFEE">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4.7拒绝有关部门检查或者不如实反映情况，提供材料的；</w:t>
      </w:r>
    </w:p>
    <w:p w14:paraId="5364A544">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4.8向采购项目相关人行贿或者提供其他不正当利益的；</w:t>
      </w:r>
    </w:p>
    <w:p w14:paraId="74901C38">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4.9</w:t>
      </w:r>
      <w:r>
        <w:rPr>
          <w:rFonts w:hint="eastAsia" w:ascii="宋体" w:hAnsi="宋体" w:eastAsia="宋体" w:cs="宋体"/>
          <w:sz w:val="21"/>
          <w:szCs w:val="21"/>
        </w:rPr>
        <w:t>提供虚假检验报告等相关票证</w:t>
      </w:r>
      <w:r>
        <w:rPr>
          <w:rFonts w:hint="eastAsia" w:ascii="宋体" w:hAnsi="宋体" w:cs="宋体"/>
          <w:sz w:val="21"/>
          <w:szCs w:val="21"/>
          <w:lang w:eastAsia="zh-CN"/>
        </w:rPr>
        <w:t>的；</w:t>
      </w:r>
    </w:p>
    <w:p w14:paraId="13D307A5">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其他违法法律、法规和协议规定的行为。</w:t>
      </w:r>
    </w:p>
    <w:p w14:paraId="17E09C63">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5、服务供应商在合同执行期间有下列行为之一的，采购单位有权直接解除供货服务合同：</w:t>
      </w:r>
    </w:p>
    <w:p w14:paraId="0D64F60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5.1选定后无正当理由不与采购单位签订合同的；</w:t>
      </w:r>
    </w:p>
    <w:p w14:paraId="3C7E654F">
      <w:pPr>
        <w:pStyle w:val="38"/>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5.2擅自变更或者中止采购服务合同的；</w:t>
      </w:r>
    </w:p>
    <w:p w14:paraId="7875139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5.3不按采购需求、投标文件以及采购服务合同要求全面履约，履约情况评价不合格的；</w:t>
      </w:r>
    </w:p>
    <w:p w14:paraId="7A0A126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5.4未按规定出具检测报告或相关承诺书等资料达到二次的；</w:t>
      </w:r>
    </w:p>
    <w:p w14:paraId="7DED4B8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5.5经核实配送物资不符合采购单位要求达到三次的；</w:t>
      </w:r>
    </w:p>
    <w:p w14:paraId="6D8897A5">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5.6不按要求提供报价三次的；</w:t>
      </w:r>
    </w:p>
    <w:p w14:paraId="3FAABA3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5.7虚高报价三次的；</w:t>
      </w:r>
    </w:p>
    <w:p w14:paraId="5899160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5.8物资或服务以次充好，存在严重质量问题的；</w:t>
      </w:r>
    </w:p>
    <w:p w14:paraId="3DE77A71">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5.9因供应的货物质量达不到国家有关食品安全标准而造成食物中毒或其它后果，经公安单位或</w:t>
      </w:r>
      <w:r>
        <w:rPr>
          <w:rFonts w:hint="eastAsia" w:ascii="宋体" w:hAnsi="宋体"/>
          <w:szCs w:val="21"/>
        </w:rPr>
        <w:t>相关部门</w:t>
      </w:r>
      <w:r>
        <w:rPr>
          <w:rFonts w:hint="eastAsia" w:ascii="宋体" w:hAnsi="宋体" w:eastAsia="宋体" w:cs="宋体"/>
          <w:sz w:val="21"/>
          <w:szCs w:val="21"/>
          <w:highlight w:val="none"/>
        </w:rPr>
        <w:t>鉴定属于供货方（配送单位）责任的；</w:t>
      </w:r>
    </w:p>
    <w:p w14:paraId="530A093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5.10经2次以上（含2次）的有效投诉处理仍不纠正的，有效投诉指的是供应商被投诉内容经查实确定为违反服务合同或其他协议规定的事实；</w:t>
      </w:r>
    </w:p>
    <w:p w14:paraId="3E04D5D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5.11造成严重后果或恶劣影响的行为。</w:t>
      </w:r>
    </w:p>
    <w:p w14:paraId="512C57F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6、其他考核细则参照《服务供应商履约评价表》。</w:t>
      </w:r>
    </w:p>
    <w:p w14:paraId="7E5E06D5">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w:t>
      </w: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rPr>
        <w:t>）</w:t>
      </w:r>
      <w:r>
        <w:rPr>
          <w:rFonts w:hint="eastAsia" w:ascii="宋体" w:hAnsi="宋体" w:cs="宋体"/>
          <w:b/>
          <w:bCs/>
          <w:sz w:val="21"/>
          <w:szCs w:val="21"/>
          <w:highlight w:val="none"/>
          <w:lang w:val="en-US" w:eastAsia="zh-CN"/>
        </w:rPr>
        <w:t>保密要求</w:t>
      </w:r>
    </w:p>
    <w:p w14:paraId="49ACE49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1.供应商在履行合同中所知悉的采购人未经公开的所有信息，包括往来文件资料，菜品种类和价格等，未经采购人书面同意，供应商不得向任何第三方泄露。</w:t>
      </w:r>
    </w:p>
    <w:p w14:paraId="6B8074A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2.采购人与供应商签订关于本合同项目的保密协议，供应商必须与本合同项目的所有人员签订保密协议，并将协议报采购人备案。</w:t>
      </w:r>
    </w:p>
    <w:p w14:paraId="4E1116A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3.供应商及其内部工作人员根据本条规定承担的保密义务不因本合同的无效、解除、终止而免除。</w:t>
      </w:r>
    </w:p>
    <w:p w14:paraId="0384C29D">
      <w:pPr>
        <w:spacing w:line="360" w:lineRule="auto"/>
        <w:jc w:val="left"/>
        <w:rPr>
          <w:rFonts w:hint="eastAsia" w:ascii="宋体" w:hAnsi="宋体" w:cs="宋体"/>
          <w:b/>
          <w:bCs/>
          <w:sz w:val="28"/>
          <w:szCs w:val="28"/>
        </w:rPr>
      </w:pPr>
    </w:p>
    <w:p w14:paraId="2BCD14C4">
      <w:pPr>
        <w:spacing w:line="360" w:lineRule="auto"/>
        <w:jc w:val="left"/>
        <w:rPr>
          <w:rFonts w:ascii="宋体" w:hAnsi="宋体" w:cs="宋体"/>
          <w:szCs w:val="21"/>
        </w:rPr>
      </w:pPr>
      <w:r>
        <w:rPr>
          <w:rFonts w:hint="eastAsia" w:ascii="宋体" w:hAnsi="宋体" w:cs="宋体"/>
          <w:b/>
          <w:bCs/>
          <w:sz w:val="28"/>
          <w:szCs w:val="28"/>
        </w:rPr>
        <w:t>四、项目商务要求</w:t>
      </w:r>
    </w:p>
    <w:p w14:paraId="3C366921">
      <w:pPr>
        <w:widowControl/>
        <w:shd w:val="clear" w:color="auto" w:fill="FFFFFF"/>
        <w:adjustRightInd w:val="0"/>
        <w:snapToGrid w:val="0"/>
        <w:spacing w:line="360" w:lineRule="auto"/>
        <w:rPr>
          <w:rFonts w:hint="eastAsia" w:ascii="宋体" w:hAnsi="宋体" w:cs="宋体"/>
          <w:b/>
          <w:bCs/>
          <w:szCs w:val="21"/>
          <w:highlight w:val="yellow"/>
        </w:rPr>
      </w:pPr>
      <w:r>
        <w:rPr>
          <w:rFonts w:hint="eastAsia" w:ascii="宋体" w:hAnsi="宋体" w:cs="宋体"/>
          <w:b/>
          <w:bCs/>
          <w:szCs w:val="21"/>
          <w:highlight w:val="yellow"/>
        </w:rPr>
        <w:t>★1、服务期限：</w:t>
      </w:r>
    </w:p>
    <w:p w14:paraId="44DE678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szCs w:val="21"/>
        </w:rPr>
      </w:pPr>
      <w:r>
        <w:rPr>
          <w:rFonts w:hint="eastAsia" w:ascii="宋体" w:hAnsi="宋体" w:cs="宋体"/>
          <w:b/>
          <w:bCs/>
          <w:szCs w:val="21"/>
          <w:highlight w:val="yellow"/>
        </w:rPr>
        <w:t>自合同签订之日起</w:t>
      </w:r>
      <w:r>
        <w:rPr>
          <w:rFonts w:hint="eastAsia" w:ascii="宋体" w:hAnsi="宋体" w:cs="宋体"/>
          <w:b/>
          <w:bCs/>
          <w:szCs w:val="21"/>
          <w:highlight w:val="yellow"/>
          <w:lang w:val="en-US" w:eastAsia="zh-CN"/>
        </w:rPr>
        <w:t>3个月</w:t>
      </w:r>
      <w:r>
        <w:rPr>
          <w:rFonts w:hint="eastAsia" w:ascii="宋体" w:hAnsi="宋体" w:cs="宋体"/>
          <w:b/>
          <w:bCs/>
          <w:szCs w:val="21"/>
          <w:highlight w:val="yellow"/>
        </w:rPr>
        <w:t>。若服务期限未到，实际支付金额达到人民币</w:t>
      </w:r>
      <w:r>
        <w:rPr>
          <w:rFonts w:hint="eastAsia" w:ascii="宋体" w:hAnsi="宋体" w:cs="宋体"/>
          <w:b/>
          <w:bCs/>
          <w:szCs w:val="21"/>
          <w:highlight w:val="yellow"/>
          <w:lang w:val="en-US" w:eastAsia="zh-CN"/>
        </w:rPr>
        <w:t>叁拾玖万陆仟玖佰</w:t>
      </w:r>
      <w:r>
        <w:rPr>
          <w:rFonts w:hint="eastAsia" w:ascii="宋体" w:hAnsi="宋体" w:cs="宋体"/>
          <w:b/>
          <w:bCs/>
          <w:szCs w:val="21"/>
          <w:highlight w:val="yellow"/>
        </w:rPr>
        <w:t>元整（¥</w:t>
      </w:r>
      <w:r>
        <w:rPr>
          <w:rFonts w:hint="eastAsia" w:ascii="宋体" w:hAnsi="宋体" w:cs="宋体"/>
          <w:b/>
          <w:bCs/>
          <w:szCs w:val="21"/>
          <w:highlight w:val="yellow"/>
          <w:lang w:val="en-US" w:eastAsia="zh-CN"/>
        </w:rPr>
        <w:t>39.69</w:t>
      </w:r>
      <w:r>
        <w:rPr>
          <w:rFonts w:hint="eastAsia" w:ascii="宋体" w:hAnsi="宋体" w:cs="宋体"/>
          <w:b/>
          <w:bCs/>
          <w:szCs w:val="21"/>
          <w:highlight w:val="yellow"/>
        </w:rPr>
        <w:t>万元）时，合同提前终止；若到了服务期限，但实际支付金额还未达到人民币</w:t>
      </w:r>
      <w:r>
        <w:rPr>
          <w:rFonts w:hint="eastAsia" w:ascii="宋体" w:hAnsi="宋体" w:cs="宋体"/>
          <w:b/>
          <w:bCs/>
          <w:szCs w:val="21"/>
          <w:highlight w:val="yellow"/>
          <w:lang w:val="en-US" w:eastAsia="zh-CN"/>
        </w:rPr>
        <w:t>叁拾玖万陆仟玖佰</w:t>
      </w:r>
      <w:r>
        <w:rPr>
          <w:rFonts w:hint="eastAsia" w:ascii="宋体" w:hAnsi="宋体" w:cs="宋体"/>
          <w:b/>
          <w:bCs/>
          <w:szCs w:val="21"/>
          <w:highlight w:val="yellow"/>
        </w:rPr>
        <w:t>元整（¥</w:t>
      </w:r>
      <w:r>
        <w:rPr>
          <w:rFonts w:hint="eastAsia" w:ascii="宋体" w:hAnsi="宋体" w:cs="宋体"/>
          <w:b/>
          <w:bCs/>
          <w:szCs w:val="21"/>
          <w:highlight w:val="yellow"/>
          <w:lang w:val="en-US" w:eastAsia="zh-CN"/>
        </w:rPr>
        <w:t>39.69</w:t>
      </w:r>
      <w:r>
        <w:rPr>
          <w:rFonts w:hint="eastAsia" w:ascii="宋体" w:hAnsi="宋体" w:cs="宋体"/>
          <w:b/>
          <w:bCs/>
          <w:szCs w:val="21"/>
          <w:highlight w:val="yellow"/>
        </w:rPr>
        <w:t>万元）时，合同按时终止。</w:t>
      </w:r>
    </w:p>
    <w:p w14:paraId="613D7350">
      <w:pPr>
        <w:widowControl/>
        <w:shd w:val="clear" w:color="auto" w:fill="FFFFFF"/>
        <w:adjustRightInd w:val="0"/>
        <w:snapToGrid w:val="0"/>
        <w:spacing w:line="360" w:lineRule="auto"/>
        <w:rPr>
          <w:rFonts w:hint="eastAsia" w:ascii="宋体" w:hAnsi="宋体" w:cs="宋体"/>
          <w:b w:val="0"/>
          <w:bCs w:val="0"/>
          <w:szCs w:val="21"/>
          <w:highlight w:val="none"/>
        </w:rPr>
      </w:pPr>
      <w:r>
        <w:rPr>
          <w:rFonts w:hint="eastAsia" w:ascii="宋体" w:hAnsi="宋体" w:cs="宋体"/>
          <w:b w:val="0"/>
          <w:bCs w:val="0"/>
          <w:szCs w:val="21"/>
          <w:highlight w:val="none"/>
        </w:rPr>
        <w:t>2、付款方式：</w:t>
      </w:r>
    </w:p>
    <w:p w14:paraId="4D65DAC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2.1结算货款时，应由采购方财务人员严格审核送货清单，并根据招标确定的结算折扣率下浮后予以结算。款项每月结算一次，招标人按现行有关规定，凭采购合同、发票等和合同约定条款按进度拨付合同款项。</w:t>
      </w:r>
    </w:p>
    <w:p w14:paraId="5579876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Cs w:val="21"/>
        </w:rPr>
      </w:pPr>
      <w:r>
        <w:rPr>
          <w:rFonts w:hint="eastAsia" w:ascii="宋体" w:hAnsi="宋体" w:cs="宋体"/>
          <w:b w:val="0"/>
          <w:bCs w:val="0"/>
          <w:szCs w:val="21"/>
          <w:highlight w:val="none"/>
        </w:rPr>
        <w:t>2.2以上为预计付款方式，合同订立时，采购人可根据实际情况最终确定支付方式，并在合同中予以明确。</w:t>
      </w:r>
    </w:p>
    <w:p w14:paraId="6FCEB26F">
      <w:pPr>
        <w:widowControl/>
        <w:shd w:val="clear" w:color="auto" w:fill="FFFFFF"/>
        <w:adjustRightInd w:val="0"/>
        <w:snapToGrid w:val="0"/>
        <w:spacing w:line="360" w:lineRule="auto"/>
        <w:rPr>
          <w:rFonts w:hint="eastAsia" w:ascii="宋体" w:hAnsi="宋体" w:eastAsia="宋体" w:cs="宋体"/>
          <w:b/>
          <w:bCs/>
          <w:szCs w:val="21"/>
          <w:highlight w:val="yellow"/>
        </w:rPr>
      </w:pPr>
      <w:r>
        <w:rPr>
          <w:rFonts w:hint="eastAsia" w:ascii="宋体" w:hAnsi="宋体" w:eastAsia="宋体" w:cs="宋体"/>
          <w:b/>
          <w:bCs/>
          <w:szCs w:val="21"/>
          <w:highlight w:val="yellow"/>
        </w:rPr>
        <w:t>★3、报价</w:t>
      </w:r>
      <w:r>
        <w:rPr>
          <w:rFonts w:hint="eastAsia" w:ascii="宋体" w:hAnsi="宋体" w:eastAsia="宋体" w:cs="宋体"/>
          <w:b/>
          <w:bCs/>
          <w:szCs w:val="21"/>
          <w:highlight w:val="yellow"/>
          <w:lang w:val="en-US" w:eastAsia="zh-CN"/>
        </w:rPr>
        <w:t>要求</w:t>
      </w:r>
      <w:r>
        <w:rPr>
          <w:rFonts w:hint="eastAsia" w:ascii="宋体" w:hAnsi="宋体" w:eastAsia="宋体" w:cs="宋体"/>
          <w:b/>
          <w:bCs/>
          <w:szCs w:val="21"/>
          <w:highlight w:val="yellow"/>
        </w:rPr>
        <w:t>：</w:t>
      </w:r>
    </w:p>
    <w:p w14:paraId="3B71B03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lang w:val="en-US" w:eastAsia="zh-CN"/>
        </w:rPr>
        <w:t>1</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产品投标报价以中农数据食堂采配平台（网址：www.chinaap.com）上个月5、15、25号公布的粗加工后的价格（即精品价）取平均值为该项物资的基准价，投标人结合企业自己的实力报出折扣率，结算时价格=基准价*折扣率。</w:t>
      </w:r>
    </w:p>
    <w:p w14:paraId="2A95704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lang w:eastAsia="zh-CN"/>
        </w:rPr>
      </w:pP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lang w:val="en-US" w:eastAsia="zh-CN"/>
        </w:rPr>
        <w:t>2</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中农数据食堂采配平台中无价格产品，则结算时价格=市场价*折扣率</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市场价由采购人组织调查小组到大型超市或农贸市场进行考察确定价格的合理性</w:t>
      </w:r>
      <w:r>
        <w:rPr>
          <w:rFonts w:hint="eastAsia" w:ascii="宋体" w:hAnsi="宋体" w:eastAsia="宋体" w:cs="宋体"/>
          <w:b/>
          <w:bCs/>
          <w:szCs w:val="21"/>
          <w:highlight w:val="yellow"/>
          <w:lang w:eastAsia="zh-CN"/>
        </w:rPr>
        <w:t>。</w:t>
      </w:r>
    </w:p>
    <w:p w14:paraId="49F52DA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lang w:val="en-US" w:eastAsia="zh-CN"/>
        </w:rPr>
        <w:t>3</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所有物资的报价包括供应产品和产品运输到使用单位的服务费、运费、装卸费、检测费、人工费、管理费、税金等一切可能发生的费用。以人民币为报价和结算单位，并开具国家正规发票。</w:t>
      </w:r>
    </w:p>
    <w:p w14:paraId="77B434B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lang w:val="en-US" w:eastAsia="zh-CN"/>
        </w:rPr>
        <w:t>4</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本项目不涉及具体投标金额（无须</w:t>
      </w:r>
      <w:r>
        <w:rPr>
          <w:rFonts w:hint="eastAsia" w:ascii="宋体" w:hAnsi="宋体" w:eastAsia="宋体" w:cs="宋体"/>
          <w:b/>
          <w:bCs/>
          <w:szCs w:val="21"/>
          <w:highlight w:val="yellow"/>
          <w:lang w:eastAsia="zh-CN"/>
        </w:rPr>
        <w:t>投标供应商</w:t>
      </w:r>
      <w:r>
        <w:rPr>
          <w:rFonts w:hint="eastAsia" w:ascii="宋体" w:hAnsi="宋体" w:eastAsia="宋体" w:cs="宋体"/>
          <w:b/>
          <w:bCs/>
          <w:szCs w:val="21"/>
          <w:highlight w:val="yellow"/>
        </w:rPr>
        <w:t>在投标文件中填报具体投标金额），</w:t>
      </w:r>
      <w:r>
        <w:rPr>
          <w:rFonts w:hint="eastAsia" w:ascii="宋体" w:hAnsi="宋体" w:eastAsia="宋体" w:cs="宋体"/>
          <w:b/>
          <w:bCs/>
          <w:szCs w:val="21"/>
          <w:highlight w:val="yellow"/>
          <w:lang w:eastAsia="zh-CN"/>
        </w:rPr>
        <w:t>投标供应商</w:t>
      </w:r>
      <w:r>
        <w:rPr>
          <w:rFonts w:hint="eastAsia" w:ascii="宋体" w:hAnsi="宋体" w:eastAsia="宋体" w:cs="宋体"/>
          <w:b/>
          <w:bCs/>
          <w:szCs w:val="21"/>
          <w:highlight w:val="yellow"/>
        </w:rPr>
        <w:t>只需在投标文件项目报价表中填报唯一的折扣率。</w:t>
      </w:r>
      <w:r>
        <w:rPr>
          <w:rFonts w:hint="eastAsia" w:ascii="宋体" w:hAnsi="宋体" w:eastAsia="宋体" w:cs="宋体"/>
          <w:b/>
          <w:bCs/>
          <w:szCs w:val="21"/>
          <w:highlight w:val="yellow"/>
          <w:lang w:eastAsia="zh-CN"/>
        </w:rPr>
        <w:t>投标供应商</w:t>
      </w:r>
      <w:r>
        <w:rPr>
          <w:rFonts w:hint="eastAsia" w:ascii="宋体" w:hAnsi="宋体" w:eastAsia="宋体" w:cs="宋体"/>
          <w:b/>
          <w:bCs/>
          <w:szCs w:val="21"/>
          <w:highlight w:val="yellow"/>
        </w:rPr>
        <w:t>应根据自身成本自行填报“折扣率”，应包括服务成本、法定税费和企业的利润，但不得以低于其成本的报价竞标。</w:t>
      </w:r>
    </w:p>
    <w:p w14:paraId="26C8BA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lang w:val="en-US" w:eastAsia="zh-CN"/>
        </w:rPr>
        <w:t>5</w:t>
      </w:r>
      <w:r>
        <w:rPr>
          <w:rFonts w:hint="eastAsia" w:ascii="宋体" w:hAnsi="宋体" w:eastAsia="宋体" w:cs="宋体"/>
          <w:b/>
          <w:bCs/>
          <w:szCs w:val="21"/>
          <w:highlight w:val="yellow"/>
          <w:lang w:eastAsia="zh-CN"/>
        </w:rPr>
        <w:t>）</w:t>
      </w:r>
      <w:r>
        <w:rPr>
          <w:rFonts w:hint="eastAsia" w:ascii="宋体" w:hAnsi="宋体" w:eastAsia="宋体" w:cs="宋体"/>
          <w:b/>
          <w:bCs/>
          <w:szCs w:val="21"/>
          <w:highlight w:val="yellow"/>
        </w:rPr>
        <w:t>“折扣率”填写要求</w:t>
      </w:r>
    </w:p>
    <w:p w14:paraId="30E9FE6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rPr>
        <w:t>①</w:t>
      </w:r>
      <w:r>
        <w:rPr>
          <w:rFonts w:hint="eastAsia" w:ascii="宋体" w:hAnsi="宋体" w:eastAsia="宋体" w:cs="宋体"/>
          <w:b/>
          <w:bCs/>
          <w:szCs w:val="21"/>
          <w:highlight w:val="yellow"/>
          <w:lang w:val="en-US" w:eastAsia="zh-CN"/>
        </w:rPr>
        <w:t xml:space="preserve"> </w:t>
      </w:r>
      <w:r>
        <w:rPr>
          <w:rFonts w:hint="eastAsia" w:ascii="宋体" w:hAnsi="宋体" w:eastAsia="宋体" w:cs="宋体"/>
          <w:b/>
          <w:bCs/>
          <w:szCs w:val="21"/>
          <w:highlight w:val="yellow"/>
        </w:rPr>
        <w:t>填写要求：0＜折扣率≤1，未按此要求填写将作废标处理。</w:t>
      </w:r>
    </w:p>
    <w:p w14:paraId="7AE7C6F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rPr>
        <w:t>②</w:t>
      </w:r>
      <w:r>
        <w:rPr>
          <w:rFonts w:hint="eastAsia" w:ascii="宋体" w:hAnsi="宋体" w:eastAsia="宋体" w:cs="宋体"/>
          <w:b/>
          <w:bCs/>
          <w:szCs w:val="21"/>
          <w:highlight w:val="yellow"/>
          <w:lang w:val="en-US" w:eastAsia="zh-CN"/>
        </w:rPr>
        <w:t xml:space="preserve"> </w:t>
      </w:r>
      <w:r>
        <w:rPr>
          <w:rFonts w:hint="eastAsia" w:ascii="宋体" w:hAnsi="宋体" w:eastAsia="宋体" w:cs="宋体"/>
          <w:b/>
          <w:bCs/>
          <w:szCs w:val="21"/>
          <w:highlight w:val="yellow"/>
        </w:rPr>
        <w:t>填写的“折扣率”应为小数，（如：0.90、0.80、0.78，保留小数点后两位）；</w:t>
      </w:r>
    </w:p>
    <w:p w14:paraId="7D18EC8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yellow"/>
        </w:rPr>
      </w:pPr>
      <w:r>
        <w:rPr>
          <w:rFonts w:hint="eastAsia" w:ascii="宋体" w:hAnsi="宋体" w:eastAsia="宋体" w:cs="宋体"/>
          <w:b/>
          <w:bCs/>
          <w:szCs w:val="21"/>
          <w:highlight w:val="yellow"/>
        </w:rPr>
        <w:t>③</w:t>
      </w:r>
      <w:r>
        <w:rPr>
          <w:rFonts w:hint="eastAsia" w:ascii="宋体" w:hAnsi="宋体" w:eastAsia="宋体" w:cs="宋体"/>
          <w:b/>
          <w:bCs/>
          <w:szCs w:val="21"/>
          <w:highlight w:val="yellow"/>
          <w:lang w:val="en-US" w:eastAsia="zh-CN"/>
        </w:rPr>
        <w:t xml:space="preserve"> </w:t>
      </w:r>
      <w:r>
        <w:rPr>
          <w:rFonts w:hint="eastAsia" w:ascii="宋体" w:hAnsi="宋体" w:eastAsia="宋体" w:cs="宋体"/>
          <w:b/>
          <w:bCs/>
          <w:szCs w:val="21"/>
          <w:highlight w:val="yellow"/>
        </w:rPr>
        <w:t>投标</w:t>
      </w:r>
      <w:r>
        <w:rPr>
          <w:rFonts w:hint="eastAsia" w:ascii="宋体" w:hAnsi="宋体" w:eastAsia="宋体" w:cs="宋体"/>
          <w:b/>
          <w:bCs/>
          <w:szCs w:val="21"/>
          <w:highlight w:val="yellow"/>
          <w:lang w:val="en-US" w:eastAsia="zh-CN"/>
        </w:rPr>
        <w:t>供应商</w:t>
      </w:r>
      <w:r>
        <w:rPr>
          <w:rFonts w:hint="eastAsia" w:ascii="宋体" w:hAnsi="宋体" w:eastAsia="宋体" w:cs="宋体"/>
          <w:b/>
          <w:bCs/>
          <w:szCs w:val="21"/>
          <w:highlight w:val="yellow"/>
        </w:rPr>
        <w:t>参与投标只允许填报一个“折扣率”，不允许填报2个（或以上）的“折扣率”；填报了2个或以上“折扣率”的，其投标将直接作投标无效处理；</w:t>
      </w:r>
    </w:p>
    <w:p w14:paraId="098405BD">
      <w:pPr>
        <w:pStyle w:val="2"/>
        <w:keepNext w:val="0"/>
        <w:keepLines w:val="0"/>
        <w:pageBreakBefore w:val="0"/>
        <w:kinsoku/>
        <w:wordWrap/>
        <w:overflowPunct/>
        <w:topLinePunct w:val="0"/>
        <w:autoSpaceDE/>
        <w:autoSpaceDN/>
        <w:bidi w:val="0"/>
        <w:spacing w:after="0" w:line="360" w:lineRule="auto"/>
        <w:ind w:firstLine="422" w:firstLineChars="200"/>
        <w:textAlignment w:val="auto"/>
        <w:rPr>
          <w:rFonts w:hint="eastAsia"/>
        </w:rPr>
      </w:pPr>
      <w:r>
        <w:rPr>
          <w:rFonts w:hint="eastAsia" w:ascii="宋体" w:hAnsi="宋体" w:eastAsia="宋体" w:cs="宋体"/>
          <w:b/>
          <w:bCs/>
          <w:szCs w:val="21"/>
          <w:highlight w:val="yellow"/>
        </w:rPr>
        <w:t>④</w:t>
      </w:r>
      <w:r>
        <w:rPr>
          <w:rFonts w:hint="eastAsia" w:ascii="宋体" w:hAnsi="宋体" w:eastAsia="宋体" w:cs="宋体"/>
          <w:b/>
          <w:bCs/>
          <w:szCs w:val="21"/>
          <w:highlight w:val="yellow"/>
          <w:lang w:val="en-US" w:eastAsia="zh-CN"/>
        </w:rPr>
        <w:t xml:space="preserve"> </w:t>
      </w:r>
      <w:r>
        <w:rPr>
          <w:rFonts w:hint="eastAsia" w:ascii="宋体" w:hAnsi="宋体" w:eastAsia="宋体" w:cs="宋体"/>
          <w:b/>
          <w:bCs/>
          <w:szCs w:val="21"/>
          <w:highlight w:val="yellow"/>
        </w:rPr>
        <w:t>“折扣率”缺填、漏填将直接作投标无效处理。</w:t>
      </w:r>
    </w:p>
    <w:p w14:paraId="760BCD0A">
      <w:pPr>
        <w:widowControl/>
        <w:shd w:val="clear" w:color="auto" w:fill="FFFFFF"/>
        <w:adjustRightInd w:val="0"/>
        <w:snapToGrid w:val="0"/>
        <w:spacing w:line="360" w:lineRule="auto"/>
        <w:rPr>
          <w:rFonts w:hint="eastAsia" w:ascii="宋体" w:hAnsi="宋体" w:cs="宋体"/>
          <w:szCs w:val="21"/>
        </w:rPr>
      </w:pPr>
      <w:r>
        <w:rPr>
          <w:rFonts w:hint="eastAsia" w:ascii="宋体" w:hAnsi="宋体" w:cs="宋体"/>
          <w:szCs w:val="21"/>
        </w:rPr>
        <w:t>4、合同签订</w:t>
      </w:r>
    </w:p>
    <w:p w14:paraId="213814E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rPr>
        <w:t>4.1由深圳市公安局治安管理支队与中标供应商签订采购合同。</w:t>
      </w:r>
    </w:p>
    <w:p w14:paraId="6BB976CA">
      <w:pPr>
        <w:widowControl/>
        <w:shd w:val="clear" w:color="auto" w:fill="FFFFFF"/>
        <w:adjustRightInd w:val="0"/>
        <w:snapToGrid w:val="0"/>
        <w:spacing w:line="360" w:lineRule="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其他内容</w:t>
      </w:r>
    </w:p>
    <w:p w14:paraId="0B25B6E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Cs w:val="21"/>
        </w:rPr>
      </w:pPr>
      <w:r>
        <w:rPr>
          <w:rFonts w:hint="eastAsia" w:ascii="宋体" w:hAnsi="宋体" w:cs="宋体"/>
          <w:szCs w:val="21"/>
          <w:lang w:val="en-US" w:eastAsia="zh-CN"/>
        </w:rPr>
        <w:t>5.1</w:t>
      </w:r>
      <w:r>
        <w:rPr>
          <w:rFonts w:hint="eastAsia" w:ascii="宋体" w:hAnsi="宋体" w:cs="宋体"/>
          <w:szCs w:val="21"/>
        </w:rPr>
        <w:t>加工人员和配送人员在服务过程中如遇到人员伤亡事故由中标单位负全部责任，与采购单位无关。</w:t>
      </w:r>
    </w:p>
    <w:p w14:paraId="5B7883B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firstLineChars="200"/>
        <w:textAlignment w:val="auto"/>
        <w:rPr>
          <w:rFonts w:ascii="宋体" w:hAnsi="宋体" w:cs="宋体"/>
          <w:szCs w:val="21"/>
        </w:rPr>
      </w:pPr>
      <w:r>
        <w:rPr>
          <w:rFonts w:hint="eastAsia" w:ascii="宋体" w:hAnsi="宋体" w:cs="宋体"/>
          <w:szCs w:val="21"/>
          <w:lang w:val="en-US" w:eastAsia="zh-CN"/>
        </w:rPr>
        <w:t>5.2</w:t>
      </w:r>
      <w:r>
        <w:rPr>
          <w:rFonts w:hint="eastAsia" w:ascii="宋体" w:hAnsi="宋体" w:cs="宋体"/>
          <w:szCs w:val="21"/>
        </w:rPr>
        <w:t>中标人</w:t>
      </w:r>
      <w:r>
        <w:rPr>
          <w:rFonts w:hint="eastAsia" w:ascii="宋体" w:hAnsi="宋体" w:cs="宋体"/>
          <w:szCs w:val="21"/>
          <w:lang w:val="en-US" w:eastAsia="zh-CN"/>
        </w:rPr>
        <w:t>需</w:t>
      </w:r>
      <w:r>
        <w:rPr>
          <w:rFonts w:hint="eastAsia" w:ascii="宋体" w:hAnsi="宋体" w:cs="宋体"/>
          <w:szCs w:val="21"/>
        </w:rPr>
        <w:t>为采购单位购买保额至少为500万元及以上的食品安全责任险。</w:t>
      </w:r>
    </w:p>
    <w:p w14:paraId="6B403618">
      <w:pPr>
        <w:widowControl/>
        <w:shd w:val="clear" w:color="auto" w:fill="FFFFFF"/>
        <w:adjustRightInd w:val="0"/>
        <w:snapToGrid w:val="0"/>
        <w:spacing w:line="360" w:lineRule="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6</w:t>
      </w:r>
      <w:r>
        <w:rPr>
          <w:rFonts w:hint="eastAsia" w:ascii="宋体" w:hAnsi="宋体" w:eastAsia="宋体" w:cs="宋体"/>
          <w:b w:val="0"/>
          <w:bCs w:val="0"/>
          <w:highlight w:val="none"/>
        </w:rPr>
        <w:t>、</w:t>
      </w:r>
      <w:r>
        <w:rPr>
          <w:rFonts w:hint="eastAsia" w:ascii="宋体" w:hAnsi="宋体" w:eastAsia="宋体" w:cs="宋体"/>
          <w:b w:val="0"/>
          <w:bCs w:val="0"/>
          <w:highlight w:val="none"/>
          <w:lang w:val="en-US" w:eastAsia="zh-CN"/>
        </w:rPr>
        <w:t>履约评价</w:t>
      </w:r>
      <w:r>
        <w:rPr>
          <w:rFonts w:hint="eastAsia" w:ascii="宋体" w:hAnsi="宋体" w:eastAsia="宋体" w:cs="宋体"/>
          <w:b w:val="0"/>
          <w:bCs w:val="0"/>
          <w:highlight w:val="none"/>
        </w:rPr>
        <w:t>：</w:t>
      </w:r>
    </w:p>
    <w:p w14:paraId="45499CA0">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生以下情形，经调查属实的，扣除当月对货款费的5%作为违约金：</w:t>
      </w:r>
    </w:p>
    <w:p w14:paraId="7836FF64">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1.1未按要求随货提供相关票证；</w:t>
      </w:r>
    </w:p>
    <w:p w14:paraId="3800600F">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1.2货物质量验收不合格；</w:t>
      </w:r>
    </w:p>
    <w:p w14:paraId="75DF6F66">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1.3未按采购单位采购计划的时间供货（提前一天与采购单位协商除外）；</w:t>
      </w:r>
    </w:p>
    <w:p w14:paraId="07A62E96">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1.4供货数量仅为采购单位采购计划数量的80%-90%（不含本数）；</w:t>
      </w:r>
    </w:p>
    <w:p w14:paraId="1D9D272E">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1.5未按采购单位指定秩序卸货；</w:t>
      </w:r>
    </w:p>
    <w:p w14:paraId="4A751BCB">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1.6货物出现质量问题，供应商不积极配合查找原因，不及时反馈处理结果；</w:t>
      </w:r>
    </w:p>
    <w:p w14:paraId="70E09668">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1.7工作人员不遵守采购单位各项管理规定；</w:t>
      </w:r>
    </w:p>
    <w:p w14:paraId="40CC0482">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rPr>
        <w:t>发生以下情形，经调查属实的，扣除当月对货款费的10%作为违约金：</w:t>
      </w:r>
    </w:p>
    <w:p w14:paraId="0056568A">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2.1供应货物品种、品牌、规格或质量等级与合同不符；</w:t>
      </w:r>
    </w:p>
    <w:p w14:paraId="13623F7E">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cs="宋体"/>
          <w:sz w:val="21"/>
          <w:szCs w:val="21"/>
          <w:lang w:val="en-US" w:eastAsia="zh-CN"/>
        </w:rPr>
        <w:t>2</w:t>
      </w:r>
      <w:r>
        <w:rPr>
          <w:rFonts w:hint="eastAsia" w:ascii="宋体" w:hAnsi="宋体" w:eastAsia="宋体" w:cs="宋体"/>
          <w:sz w:val="21"/>
          <w:szCs w:val="21"/>
        </w:rPr>
        <w:t>供货数量低于采购单位采购计划数量的80%（含本数）；</w:t>
      </w:r>
    </w:p>
    <w:p w14:paraId="3C2D2803">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cs="宋体"/>
          <w:sz w:val="21"/>
          <w:szCs w:val="21"/>
          <w:lang w:val="en-US" w:eastAsia="zh-CN"/>
        </w:rPr>
        <w:t>3</w:t>
      </w:r>
      <w:r>
        <w:rPr>
          <w:rFonts w:hint="eastAsia" w:ascii="宋体" w:hAnsi="宋体" w:eastAsia="宋体" w:cs="宋体"/>
          <w:sz w:val="21"/>
          <w:szCs w:val="21"/>
        </w:rPr>
        <w:t>同一品种货物连续两次验收发现质量不合格产品并退货；</w:t>
      </w:r>
    </w:p>
    <w:p w14:paraId="45C565D5">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cs="宋体"/>
          <w:sz w:val="21"/>
          <w:szCs w:val="21"/>
          <w:lang w:val="en-US" w:eastAsia="zh-CN"/>
        </w:rPr>
        <w:t>4</w:t>
      </w:r>
      <w:r>
        <w:rPr>
          <w:rFonts w:hint="eastAsia" w:ascii="宋体" w:hAnsi="宋体" w:eastAsia="宋体" w:cs="宋体"/>
          <w:sz w:val="21"/>
          <w:szCs w:val="21"/>
        </w:rPr>
        <w:t>把采购单位验收不合格退货的货物重新配送给采购单位；</w:t>
      </w:r>
    </w:p>
    <w:p w14:paraId="2A32130F">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cs="宋体"/>
          <w:sz w:val="21"/>
          <w:szCs w:val="21"/>
          <w:lang w:val="en-US" w:eastAsia="zh-CN"/>
        </w:rPr>
        <w:t>5</w:t>
      </w:r>
      <w:r>
        <w:rPr>
          <w:rFonts w:hint="eastAsia" w:ascii="宋体" w:hAnsi="宋体" w:eastAsia="宋体" w:cs="宋体"/>
          <w:sz w:val="21"/>
          <w:szCs w:val="21"/>
        </w:rPr>
        <w:t>在包装、运输、装卸等环节不符合食品安全要求；</w:t>
      </w:r>
    </w:p>
    <w:p w14:paraId="661933EF">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组织机构发生调整，或经营场所、联系人、联系方式变更，未及时通知采购单位，造成无法及时联系；</w:t>
      </w:r>
    </w:p>
    <w:p w14:paraId="5D8F4AAF">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食品溯源管理制度不落实，进货查验记录不全；</w:t>
      </w:r>
    </w:p>
    <w:p w14:paraId="2880AB6A">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w:t>
      </w:r>
      <w:r>
        <w:rPr>
          <w:rFonts w:hint="eastAsia" w:ascii="宋体" w:hAnsi="宋体" w:eastAsia="宋体" w:cs="宋体"/>
          <w:sz w:val="21"/>
          <w:szCs w:val="21"/>
        </w:rPr>
        <w:t>发生以下情形，经调查属实的，扣除当月对货款费的20%作为违约金：</w:t>
      </w:r>
    </w:p>
    <w:p w14:paraId="5DBA29BB">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3.1中标人的工作人员不遵守采购单位各项管理规定，造成社会不良影响；</w:t>
      </w:r>
    </w:p>
    <w:p w14:paraId="4A6A4183">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6.3.2</w:t>
      </w:r>
      <w:r>
        <w:rPr>
          <w:rFonts w:hint="eastAsia" w:ascii="宋体" w:hAnsi="宋体" w:eastAsia="宋体" w:cs="宋体"/>
          <w:sz w:val="21"/>
          <w:szCs w:val="21"/>
        </w:rPr>
        <w:t>中标人提供假冒伪劣、过期产品的，一经发现，除按采购人要求无条件退货或换货外，还将被处以10倍的罚款，罚款由供货结算款内扣除。</w:t>
      </w:r>
    </w:p>
    <w:p w14:paraId="5666C1F6">
      <w:pPr>
        <w:keepNext w:val="0"/>
        <w:keepLines w:val="0"/>
        <w:pageBreakBefore w:val="0"/>
        <w:tabs>
          <w:tab w:val="left" w:pos="630"/>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6.3.3</w:t>
      </w:r>
      <w:r>
        <w:rPr>
          <w:rFonts w:hint="eastAsia" w:ascii="宋体" w:hAnsi="宋体" w:eastAsia="宋体" w:cs="宋体"/>
          <w:sz w:val="21"/>
          <w:szCs w:val="21"/>
        </w:rPr>
        <w:t>若同时出现上述违约金扣除情形，则仅按扣除数额最大的情形执行，不对同时出现的情形累计扣除违约金。</w:t>
      </w:r>
    </w:p>
    <w:p w14:paraId="1843F228">
      <w:pPr>
        <w:keepNext w:val="0"/>
        <w:keepLines w:val="0"/>
        <w:pageBreakBefore w:val="0"/>
        <w:tabs>
          <w:tab w:val="left" w:pos="851"/>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6.3.4</w:t>
      </w:r>
      <w:r>
        <w:rPr>
          <w:rFonts w:hint="eastAsia" w:ascii="宋体" w:hAnsi="宋体" w:eastAsia="宋体" w:cs="宋体"/>
          <w:sz w:val="21"/>
          <w:szCs w:val="21"/>
        </w:rPr>
        <w:t>如中标人在合同执行过程需终止执行合同的，需提前一个月以书面形式告知采购单位，否则按单方面终止执行合同处理。</w:t>
      </w:r>
    </w:p>
    <w:p w14:paraId="21DFF461">
      <w:pPr>
        <w:keepNext w:val="0"/>
        <w:keepLines w:val="0"/>
        <w:pageBreakBefore w:val="0"/>
        <w:tabs>
          <w:tab w:val="left" w:pos="630"/>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发生以下情形，经调查属实的，扣除当月对货款费的50%作为违约金：</w:t>
      </w:r>
    </w:p>
    <w:p w14:paraId="6DC51AEB">
      <w:pPr>
        <w:pStyle w:val="2"/>
        <w:keepNext w:val="0"/>
        <w:keepLines w:val="0"/>
        <w:pageBreakBefore w:val="0"/>
        <w:kinsoku/>
        <w:wordWrap/>
        <w:overflowPunct/>
        <w:topLinePunct w:val="0"/>
        <w:bidi w:val="0"/>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4.1如在合同执行期间发现，本项目要求专人专车，如中标人私自调换配送人员以及车辆，则扣除当月对货款费的50%作为违约金。</w:t>
      </w:r>
    </w:p>
    <w:p w14:paraId="45004D99">
      <w:pPr>
        <w:keepNext w:val="0"/>
        <w:keepLines w:val="0"/>
        <w:pageBreakBefore w:val="0"/>
        <w:tabs>
          <w:tab w:val="left" w:pos="630"/>
        </w:tabs>
        <w:kinsoku/>
        <w:wordWrap/>
        <w:overflowPunct/>
        <w:topLinePunct w:val="0"/>
        <w:bidi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5履约考核</w:t>
      </w:r>
      <w:r>
        <w:rPr>
          <w:rFonts w:hint="eastAsia" w:ascii="宋体" w:hAnsi="宋体" w:eastAsia="宋体" w:cs="宋体"/>
          <w:sz w:val="21"/>
          <w:szCs w:val="21"/>
          <w:lang w:eastAsia="zh-CN"/>
        </w:rPr>
        <w:t>：</w:t>
      </w:r>
    </w:p>
    <w:p w14:paraId="0F875A43">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采用日常考核、月度考核的动态考核评价机制。</w:t>
      </w:r>
    </w:p>
    <w:p w14:paraId="7FEDDF38">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5.1日常考核。食堂管理办公室根据供应商的每日配送情况进行日常考核，仓管员和验收员按照《食堂物资供应商供货异常情况登记表》的要求，对供货异常情况（分为质量、时间、服务、价格、其他共五大类）进行逐一登记。日常考核将作为月度考核的重要依据。</w:t>
      </w:r>
    </w:p>
    <w:p w14:paraId="2B5F278D">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5.2月度考评。月</w:t>
      </w:r>
      <w:r>
        <w:rPr>
          <w:rFonts w:hint="eastAsia" w:ascii="宋体" w:hAnsi="宋体" w:eastAsia="宋体" w:cs="宋体"/>
          <w:sz w:val="21"/>
          <w:szCs w:val="21"/>
        </w:rPr>
        <w:t>度考评采用量化评分方式进行。每月5日前根据上月的日常考核结果进行汇总，按照《服务供应商履约评价表》进行月度考评。考评采用百分制。</w:t>
      </w:r>
    </w:p>
    <w:p w14:paraId="20291611">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附件1：食堂物资供应商供货异常情况登记表</w:t>
      </w:r>
    </w:p>
    <w:p w14:paraId="1B648144">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附件2：食堂物资采购反馈情况表</w:t>
      </w:r>
    </w:p>
    <w:p w14:paraId="2AF8627B">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附件3：服务供应商履约评价表</w:t>
      </w:r>
    </w:p>
    <w:p w14:paraId="7BA93804">
      <w:pPr>
        <w:keepNext w:val="0"/>
        <w:keepLines w:val="0"/>
        <w:pageBreakBefore w:val="0"/>
        <w:kinsoku/>
        <w:wordWrap/>
        <w:overflowPunct/>
        <w:topLinePunct w:val="0"/>
        <w:bidi w:val="0"/>
        <w:snapToGrid w:val="0"/>
        <w:spacing w:line="360" w:lineRule="auto"/>
        <w:ind w:left="0" w:leftChars="0" w:firstLine="422" w:firstLineChars="200"/>
        <w:jc w:val="center"/>
        <w:textAlignment w:val="auto"/>
        <w:rPr>
          <w:rFonts w:hint="eastAsia" w:ascii="宋体" w:hAnsi="宋体" w:eastAsia="宋体" w:cs="宋体"/>
          <w:b/>
          <w:bCs/>
          <w:sz w:val="21"/>
          <w:szCs w:val="21"/>
        </w:rPr>
      </w:pPr>
    </w:p>
    <w:p w14:paraId="2FCAD8EF">
      <w:pPr>
        <w:keepNext w:val="0"/>
        <w:keepLines w:val="0"/>
        <w:pageBreakBefore w:val="0"/>
        <w:kinsoku/>
        <w:wordWrap/>
        <w:overflowPunct/>
        <w:topLinePunct w:val="0"/>
        <w:bidi w:val="0"/>
        <w:snapToGrid w:val="0"/>
        <w:spacing w:line="360" w:lineRule="auto"/>
        <w:ind w:left="0" w:leftChars="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附件1：食堂物资供应商供货异常情况登记表</w:t>
      </w:r>
    </w:p>
    <w:tbl>
      <w:tblPr>
        <w:tblStyle w:val="22"/>
        <w:tblW w:w="894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837"/>
        <w:gridCol w:w="2999"/>
        <w:gridCol w:w="1854"/>
        <w:gridCol w:w="2256"/>
      </w:tblGrid>
      <w:tr w14:paraId="248DA27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837" w:type="dxa"/>
            <w:tcBorders>
              <w:top w:val="single" w:color="auto" w:sz="8" w:space="0"/>
              <w:left w:val="single" w:color="auto" w:sz="8" w:space="0"/>
              <w:bottom w:val="single" w:color="auto" w:sz="6" w:space="0"/>
              <w:right w:val="single" w:color="auto" w:sz="6" w:space="0"/>
            </w:tcBorders>
            <w:vAlign w:val="center"/>
          </w:tcPr>
          <w:p w14:paraId="112B8B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供应商名称</w:t>
            </w:r>
          </w:p>
        </w:tc>
        <w:tc>
          <w:tcPr>
            <w:tcW w:w="2999" w:type="dxa"/>
            <w:tcBorders>
              <w:top w:val="single" w:color="auto" w:sz="8" w:space="0"/>
              <w:left w:val="single" w:color="auto" w:sz="6" w:space="0"/>
              <w:bottom w:val="single" w:color="auto" w:sz="6" w:space="0"/>
              <w:right w:val="single" w:color="auto" w:sz="6" w:space="0"/>
            </w:tcBorders>
            <w:vAlign w:val="center"/>
          </w:tcPr>
          <w:p w14:paraId="34CF3B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854" w:type="dxa"/>
            <w:tcBorders>
              <w:top w:val="single" w:color="auto" w:sz="8" w:space="0"/>
              <w:left w:val="single" w:color="auto" w:sz="6" w:space="0"/>
              <w:bottom w:val="single" w:color="auto" w:sz="6" w:space="0"/>
              <w:right w:val="single" w:color="auto" w:sz="6" w:space="0"/>
            </w:tcBorders>
            <w:vAlign w:val="center"/>
          </w:tcPr>
          <w:p w14:paraId="7420B3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联系人及电话</w:t>
            </w:r>
          </w:p>
        </w:tc>
        <w:tc>
          <w:tcPr>
            <w:tcW w:w="2256" w:type="dxa"/>
            <w:tcBorders>
              <w:top w:val="single" w:color="auto" w:sz="4" w:space="0"/>
              <w:left w:val="single" w:color="auto" w:sz="6" w:space="0"/>
              <w:bottom w:val="single" w:color="auto" w:sz="6" w:space="0"/>
              <w:right w:val="single" w:color="auto" w:sz="8" w:space="0"/>
            </w:tcBorders>
            <w:vAlign w:val="center"/>
          </w:tcPr>
          <w:p w14:paraId="1D3E3A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525E1E3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7" w:type="dxa"/>
            <w:tcBorders>
              <w:top w:val="single" w:color="auto" w:sz="6" w:space="0"/>
              <w:left w:val="single" w:color="auto" w:sz="8" w:space="0"/>
              <w:bottom w:val="single" w:color="auto" w:sz="6" w:space="0"/>
              <w:right w:val="single" w:color="auto" w:sz="6" w:space="0"/>
            </w:tcBorders>
            <w:vAlign w:val="center"/>
          </w:tcPr>
          <w:p w14:paraId="2EBF41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送货地点</w:t>
            </w:r>
          </w:p>
        </w:tc>
        <w:tc>
          <w:tcPr>
            <w:tcW w:w="2999" w:type="dxa"/>
            <w:tcBorders>
              <w:top w:val="single" w:color="auto" w:sz="6" w:space="0"/>
              <w:left w:val="single" w:color="auto" w:sz="6" w:space="0"/>
              <w:bottom w:val="single" w:color="auto" w:sz="6" w:space="0"/>
              <w:right w:val="single" w:color="auto" w:sz="6" w:space="0"/>
            </w:tcBorders>
            <w:vAlign w:val="center"/>
          </w:tcPr>
          <w:p w14:paraId="76443E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p w14:paraId="6D1340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854" w:type="dxa"/>
            <w:tcBorders>
              <w:top w:val="single" w:color="auto" w:sz="6" w:space="0"/>
              <w:left w:val="single" w:color="auto" w:sz="6" w:space="0"/>
              <w:bottom w:val="single" w:color="auto" w:sz="6" w:space="0"/>
              <w:right w:val="single" w:color="auto" w:sz="6" w:space="0"/>
            </w:tcBorders>
            <w:vAlign w:val="center"/>
          </w:tcPr>
          <w:p w14:paraId="72D235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送货时间</w:t>
            </w:r>
          </w:p>
        </w:tc>
        <w:tc>
          <w:tcPr>
            <w:tcW w:w="2256" w:type="dxa"/>
            <w:tcBorders>
              <w:top w:val="single" w:color="auto" w:sz="6" w:space="0"/>
              <w:left w:val="single" w:color="auto" w:sz="6" w:space="0"/>
              <w:bottom w:val="single" w:color="auto" w:sz="6" w:space="0"/>
              <w:right w:val="single" w:color="auto" w:sz="8" w:space="0"/>
            </w:tcBorders>
            <w:vAlign w:val="center"/>
          </w:tcPr>
          <w:p w14:paraId="78AF38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年 月 日</w:t>
            </w:r>
          </w:p>
        </w:tc>
      </w:tr>
      <w:tr w14:paraId="51AB7BD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837" w:type="dxa"/>
            <w:tcBorders>
              <w:top w:val="single" w:color="auto" w:sz="6" w:space="0"/>
              <w:left w:val="single" w:color="auto" w:sz="8" w:space="0"/>
              <w:bottom w:val="single" w:color="auto" w:sz="6" w:space="0"/>
              <w:right w:val="single" w:color="auto" w:sz="6" w:space="0"/>
            </w:tcBorders>
            <w:vAlign w:val="center"/>
          </w:tcPr>
          <w:p w14:paraId="3C9B18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异常情况类别</w:t>
            </w:r>
          </w:p>
        </w:tc>
        <w:tc>
          <w:tcPr>
            <w:tcW w:w="7109" w:type="dxa"/>
            <w:gridSpan w:val="3"/>
            <w:tcBorders>
              <w:top w:val="single" w:color="auto" w:sz="6" w:space="0"/>
              <w:left w:val="single" w:color="auto" w:sz="6" w:space="0"/>
              <w:bottom w:val="single" w:color="auto" w:sz="6" w:space="0"/>
              <w:right w:val="single" w:color="auto" w:sz="8" w:space="0"/>
            </w:tcBorders>
            <w:vAlign w:val="center"/>
          </w:tcPr>
          <w:p w14:paraId="4784C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inline distT="0" distB="0" distL="114300" distR="114300">
                      <wp:extent cx="153670" cy="142875"/>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153670" cy="142875"/>
                              </a:xfrm>
                              <a:prstGeom prst="rect">
                                <a:avLst/>
                              </a:prstGeom>
                              <a:noFill/>
                              <a:ln>
                                <a:noFill/>
                              </a:ln>
                              <a:effectLst/>
                            </wps:spPr>
                            <wps:bodyPr upright="1"/>
                          </wps:wsp>
                        </a:graphicData>
                      </a:graphic>
                    </wp:inline>
                  </w:drawing>
                </mc:Choice>
                <mc:Fallback>
                  <w:pict>
                    <v:rect id="_x0000_s1026" o:spid="_x0000_s1026" o:spt="1" style="height:11.25pt;width:12.1pt;" filled="f" stroked="f" coordsize="21600,21600" o:gfxdata="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HjWs1AAAAAMBAAAPAAAAAAAAAAEAIAAAACIAAABkcnMvZG93bnJldi54bWxQSwECFAAU&#10;AAAACACHTuJAWogIKLwBAAB7AwAADgAAAAAAAAABACAAAAAjAQAAZHJzL2Uyb0RvYy54bWxQSwUG&#10;AAAAAAYABgBZAQAAUQUAAAAA&#10;">
                      <v:fill on="f" focussize="0,0"/>
                      <v:stroke on="f"/>
                      <v:imagedata o:title=""/>
                      <o:lock v:ext="edit" rotation="t" aspectratio="t"/>
                      <w10:wrap type="none"/>
                      <w10:anchorlock/>
                    </v:rect>
                  </w:pict>
                </mc:Fallback>
              </mc:AlternateContent>
            </w:r>
            <w:r>
              <w:rPr>
                <w:rFonts w:hint="eastAsia" w:ascii="宋体" w:hAnsi="宋体" w:eastAsia="宋体" w:cs="宋体"/>
                <w:sz w:val="21"/>
                <w:szCs w:val="21"/>
              </w:rPr>
              <mc:AlternateContent>
                <mc:Choice Requires="wps">
                  <w:drawing>
                    <wp:inline distT="0" distB="0" distL="114300" distR="114300">
                      <wp:extent cx="142875" cy="142875"/>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142875" cy="142875"/>
                              </a:xfrm>
                              <a:prstGeom prst="rect">
                                <a:avLst/>
                              </a:prstGeom>
                              <a:noFill/>
                              <a:ln>
                                <a:noFill/>
                              </a:ln>
                              <a:effectLst/>
                            </wps:spPr>
                            <wps:bodyPr upright="1"/>
                          </wps:wsp>
                        </a:graphicData>
                      </a:graphic>
                    </wp:inline>
                  </w:drawing>
                </mc:Choice>
                <mc:Fallback>
                  <w:pict>
                    <v:rect id="_x0000_s1026" o:spid="_x0000_s1026" o:spt="1" style="height:11.25pt;width:11.25pt;" filled="f" stroked="f" coordsize="21600,21600" o:gfxdata="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pWXHvTAAAAAwEAAA8AAAAAAAAAAQAgAAAAIgAAAGRycy9kb3ducmV2LnhtbFBLAQIUABQAAAAI&#10;AIdO4kAyS2pquQEAAHsDAAAOAAAAAAAAAAEAIAAAACIBAABkcnMvZTJvRG9jLnhtbFBLBQYAAAAA&#10;BgAGAFkBAABNBQAAAAA=&#10;">
                      <v:fill on="f" focussize="0,0"/>
                      <v:stroke on="f"/>
                      <v:imagedata o:title=""/>
                      <o:lock v:ext="edit" rotation="t" aspectratio="t"/>
                      <w10:wrap type="none"/>
                      <w10:anchorlock/>
                    </v:rect>
                  </w:pict>
                </mc:Fallback>
              </mc:AlternateContent>
            </w:r>
            <w:r>
              <w:rPr>
                <w:rFonts w:hint="eastAsia" w:ascii="宋体" w:hAnsi="宋体" w:eastAsia="宋体" w:cs="宋体"/>
                <w:sz w:val="21"/>
                <w:szCs w:val="21"/>
              </w:rPr>
              <mc:AlternateContent>
                <mc:Choice Requires="wps">
                  <w:drawing>
                    <wp:inline distT="0" distB="0" distL="114300" distR="114300">
                      <wp:extent cx="142875" cy="142875"/>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142875" cy="142875"/>
                              </a:xfrm>
                              <a:prstGeom prst="rect">
                                <a:avLst/>
                              </a:prstGeom>
                              <a:noFill/>
                              <a:ln>
                                <a:noFill/>
                              </a:ln>
                              <a:effectLst/>
                            </wps:spPr>
                            <wps:bodyPr upright="1"/>
                          </wps:wsp>
                        </a:graphicData>
                      </a:graphic>
                    </wp:inline>
                  </w:drawing>
                </mc:Choice>
                <mc:Fallback>
                  <w:pict>
                    <v:rect id="_x0000_s1026" o:spid="_x0000_s1026" o:spt="1" style="height:11.25pt;width:11.25pt;" filled="f" stroked="f" coordsize="21600,21600" o:gfxdata="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Zce9MAAAADAQAADwAAAAAAAAABACAAAAAiAAAAZHJzL2Rvd25yZXYueG1sUEsBAhQAFAAAAAgA&#10;h07iQAwY4ai4AQAAewMAAA4AAAAAAAAAAQAgAAAAIgEAAGRycy9lMm9Eb2MueG1sUEsFBgAAAAAG&#10;AAYAWQEAAEwFAAAAAA==&#10;">
                      <v:fill on="f" focussize="0,0"/>
                      <v:stroke on="f"/>
                      <v:imagedata o:title=""/>
                      <o:lock v:ext="edit" rotation="t" aspectratio="t"/>
                      <w10:wrap type="none"/>
                      <w10:anchorlock/>
                    </v:rect>
                  </w:pict>
                </mc:Fallback>
              </mc:AlternateContent>
            </w:r>
            <w:r>
              <w:rPr>
                <w:rFonts w:hint="eastAsia" w:ascii="宋体" w:hAnsi="宋体" w:eastAsia="宋体" w:cs="宋体"/>
                <w:sz w:val="21"/>
                <w:szCs w:val="21"/>
              </w:rPr>
              <mc:AlternateContent>
                <mc:Choice Requires="wps">
                  <w:drawing>
                    <wp:inline distT="0" distB="0" distL="114300" distR="114300">
                      <wp:extent cx="142875" cy="142875"/>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142875" cy="142875"/>
                              </a:xfrm>
                              <a:prstGeom prst="rect">
                                <a:avLst/>
                              </a:prstGeom>
                              <a:noFill/>
                              <a:ln>
                                <a:noFill/>
                              </a:ln>
                              <a:effectLst/>
                            </wps:spPr>
                            <wps:bodyPr upright="1"/>
                          </wps:wsp>
                        </a:graphicData>
                      </a:graphic>
                    </wp:inline>
                  </w:drawing>
                </mc:Choice>
                <mc:Fallback>
                  <w:pict>
                    <v:rect id="_x0000_s1026" o:spid="_x0000_s1026" o:spt="1" style="height:11.25pt;width:11.25pt;" filled="f" stroked="f" coordsize="21600,21600" o:gfxdata="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Vlx70wAAAAMBAAAPAAAAAAAAAAEAIAAAACIAAABkcnMvZG93bnJldi54bWxQSwECFAAUAAAACACH&#10;TuJASjYA57cBAAB7AwAADgAAAAAAAAABACAAAAAiAQAAZHJzL2Uyb0RvYy54bWxQSwUGAAAAAAYA&#10;BgBZAQAASwUAAAAA&#10;">
                      <v:fill on="f" focussize="0,0"/>
                      <v:stroke on="f"/>
                      <v:imagedata o:title=""/>
                      <o:lock v:ext="edit" rotation="t" aspectratio="t"/>
                      <w10:wrap type="none"/>
                      <w10:anchorlock/>
                    </v:rect>
                  </w:pict>
                </mc:Fallback>
              </mc:AlternateContent>
            </w:r>
            <w:r>
              <w:rPr>
                <w:rFonts w:hint="eastAsia" w:ascii="宋体" w:hAnsi="宋体" w:eastAsia="宋体" w:cs="宋体"/>
                <w:sz w:val="21"/>
                <w:szCs w:val="21"/>
              </w:rPr>
              <mc:AlternateContent>
                <mc:Choice Requires="wps">
                  <w:drawing>
                    <wp:inline distT="0" distB="0" distL="114300" distR="114300">
                      <wp:extent cx="142875" cy="142875"/>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142875" cy="142875"/>
                              </a:xfrm>
                              <a:prstGeom prst="rect">
                                <a:avLst/>
                              </a:prstGeom>
                              <a:noFill/>
                              <a:ln>
                                <a:noFill/>
                              </a:ln>
                              <a:effectLst/>
                            </wps:spPr>
                            <wps:bodyPr upright="1"/>
                          </wps:wsp>
                        </a:graphicData>
                      </a:graphic>
                    </wp:inline>
                  </w:drawing>
                </mc:Choice>
                <mc:Fallback>
                  <w:pict>
                    <v:rect id="_x0000_s1026" o:spid="_x0000_s1026" o:spt="1" style="height:11.25pt;width:11.25pt;" filled="f" stroked="f" coordsize="21600,21600" o:gfxdata="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Zce9MAAAADAQAADwAAAAAAAAABACAAAAAiAAAAZHJzL2Rvd25yZXYueG1sUEsBAhQAFAAAAAgA&#10;h07iQHRliyW4AQAAewMAAA4AAAAAAAAAAQAgAAAAIgEAAGRycy9lMm9Eb2MueG1sUEsFBgAAAAAG&#10;AAYAWQEAAEwFAAAAAA==&#10;">
                      <v:fill on="f" focussize="0,0"/>
                      <v:stroke on="f"/>
                      <v:imagedata o:title=""/>
                      <o:lock v:ext="edit" rotation="t" aspectratio="t"/>
                      <w10:wrap type="none"/>
                      <w10:anchorlock/>
                    </v:rect>
                  </w:pict>
                </mc:Fallback>
              </mc:AlternateContent>
            </w:r>
            <w:r>
              <w:rPr>
                <w:rFonts w:hint="eastAsia" w:ascii="宋体" w:hAnsi="宋体" w:eastAsia="宋体" w:cs="宋体"/>
                <w:sz w:val="21"/>
                <w:szCs w:val="21"/>
              </w:rPr>
              <w:t>质量 时间 服务 价格 其他</w:t>
            </w:r>
          </w:p>
        </w:tc>
      </w:tr>
      <w:tr w14:paraId="67B4AB6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7" w:type="dxa"/>
            <w:tcBorders>
              <w:top w:val="single" w:color="auto" w:sz="6" w:space="0"/>
              <w:left w:val="single" w:color="auto" w:sz="8" w:space="0"/>
              <w:bottom w:val="single" w:color="auto" w:sz="6" w:space="0"/>
              <w:right w:val="single" w:color="auto" w:sz="6" w:space="0"/>
            </w:tcBorders>
            <w:vAlign w:val="center"/>
          </w:tcPr>
          <w:p w14:paraId="461BF9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具体情况</w:t>
            </w:r>
          </w:p>
        </w:tc>
        <w:tc>
          <w:tcPr>
            <w:tcW w:w="7109" w:type="dxa"/>
            <w:gridSpan w:val="3"/>
            <w:tcBorders>
              <w:top w:val="single" w:color="auto" w:sz="6" w:space="0"/>
              <w:left w:val="single" w:color="auto" w:sz="6" w:space="0"/>
              <w:bottom w:val="single" w:color="auto" w:sz="6" w:space="0"/>
              <w:right w:val="single" w:color="auto" w:sz="8" w:space="0"/>
            </w:tcBorders>
            <w:vAlign w:val="top"/>
          </w:tcPr>
          <w:p w14:paraId="12441C4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12588DB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7" w:type="dxa"/>
            <w:tcBorders>
              <w:top w:val="single" w:color="auto" w:sz="4" w:space="0"/>
              <w:left w:val="single" w:color="auto" w:sz="8" w:space="0"/>
              <w:bottom w:val="single" w:color="auto" w:sz="8" w:space="0"/>
              <w:right w:val="single" w:color="auto" w:sz="6" w:space="0"/>
            </w:tcBorders>
            <w:vAlign w:val="center"/>
          </w:tcPr>
          <w:p w14:paraId="132DF4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收货方签名</w:t>
            </w:r>
          </w:p>
        </w:tc>
        <w:tc>
          <w:tcPr>
            <w:tcW w:w="2999" w:type="dxa"/>
            <w:tcBorders>
              <w:top w:val="single" w:color="auto" w:sz="4" w:space="0"/>
              <w:left w:val="single" w:color="auto" w:sz="6" w:space="0"/>
              <w:bottom w:val="single" w:color="auto" w:sz="8" w:space="0"/>
              <w:right w:val="single" w:color="auto" w:sz="4" w:space="0"/>
            </w:tcBorders>
            <w:vAlign w:val="center"/>
          </w:tcPr>
          <w:p w14:paraId="14E6BBE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854" w:type="dxa"/>
            <w:tcBorders>
              <w:top w:val="single" w:color="auto" w:sz="4" w:space="0"/>
              <w:left w:val="single" w:color="auto" w:sz="4" w:space="0"/>
              <w:bottom w:val="single" w:color="auto" w:sz="8" w:space="0"/>
              <w:right w:val="single" w:color="auto" w:sz="4" w:space="0"/>
            </w:tcBorders>
            <w:vAlign w:val="center"/>
          </w:tcPr>
          <w:p w14:paraId="1ED60C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供货负责人签名</w:t>
            </w:r>
          </w:p>
        </w:tc>
        <w:tc>
          <w:tcPr>
            <w:tcW w:w="2256" w:type="dxa"/>
            <w:tcBorders>
              <w:top w:val="single" w:color="auto" w:sz="4" w:space="0"/>
              <w:left w:val="single" w:color="auto" w:sz="4" w:space="0"/>
              <w:bottom w:val="single" w:color="auto" w:sz="8" w:space="0"/>
              <w:right w:val="single" w:color="auto" w:sz="8" w:space="0"/>
            </w:tcBorders>
            <w:vAlign w:val="center"/>
          </w:tcPr>
          <w:p w14:paraId="2EB04C5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bl>
    <w:p w14:paraId="23340B8C">
      <w:pPr>
        <w:keepNext w:val="0"/>
        <w:keepLines w:val="0"/>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说明：履约异常情况分为质量、时间、服务、价格、其他共五类，请首先在对应的类别前打“√”，然后在“具体情况”一栏详细说明情况。本表格一式两联，供应商及收货方各执一联。</w:t>
      </w:r>
    </w:p>
    <w:p w14:paraId="024A43CC">
      <w:pPr>
        <w:keepNext w:val="0"/>
        <w:keepLines w:val="0"/>
        <w:pageBreakBefore w:val="0"/>
        <w:kinsoku/>
        <w:wordWrap/>
        <w:overflowPunct/>
        <w:topLinePunct w:val="0"/>
        <w:bidi w:val="0"/>
        <w:snapToGrid w:val="0"/>
        <w:spacing w:line="360" w:lineRule="auto"/>
        <w:ind w:left="0" w:leftChars="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附件2 ：食堂物资采购反馈情况表</w:t>
      </w:r>
    </w:p>
    <w:tbl>
      <w:tblPr>
        <w:tblStyle w:val="22"/>
        <w:tblW w:w="9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9"/>
        <w:gridCol w:w="704"/>
        <w:gridCol w:w="1485"/>
        <w:gridCol w:w="1260"/>
        <w:gridCol w:w="87"/>
        <w:gridCol w:w="1276"/>
        <w:gridCol w:w="490"/>
        <w:gridCol w:w="2343"/>
      </w:tblGrid>
      <w:tr w14:paraId="352FB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575628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中标供应商名称</w:t>
            </w:r>
          </w:p>
        </w:tc>
        <w:tc>
          <w:tcPr>
            <w:tcW w:w="3536" w:type="dxa"/>
            <w:gridSpan w:val="4"/>
            <w:tcBorders>
              <w:top w:val="single" w:color="auto" w:sz="4" w:space="0"/>
              <w:left w:val="single" w:color="auto" w:sz="4" w:space="0"/>
              <w:bottom w:val="single" w:color="auto" w:sz="4" w:space="0"/>
              <w:right w:val="single" w:color="auto" w:sz="4" w:space="0"/>
            </w:tcBorders>
            <w:vAlign w:val="center"/>
          </w:tcPr>
          <w:p w14:paraId="5C0A2F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14:paraId="23BF6B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w:t>
            </w:r>
          </w:p>
          <w:p w14:paraId="297FE9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联系人及电话</w:t>
            </w:r>
          </w:p>
        </w:tc>
        <w:tc>
          <w:tcPr>
            <w:tcW w:w="2343" w:type="dxa"/>
            <w:tcBorders>
              <w:top w:val="single" w:color="auto" w:sz="4" w:space="0"/>
              <w:left w:val="single" w:color="auto" w:sz="4" w:space="0"/>
              <w:bottom w:val="single" w:color="auto" w:sz="4" w:space="0"/>
              <w:right w:val="single" w:color="auto" w:sz="4" w:space="0"/>
            </w:tcBorders>
            <w:vAlign w:val="center"/>
          </w:tcPr>
          <w:p w14:paraId="461FAC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42F37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28DCF3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合同履约时间</w:t>
            </w:r>
          </w:p>
        </w:tc>
        <w:tc>
          <w:tcPr>
            <w:tcW w:w="3536" w:type="dxa"/>
            <w:gridSpan w:val="4"/>
            <w:tcBorders>
              <w:top w:val="single" w:color="auto" w:sz="4" w:space="0"/>
              <w:left w:val="single" w:color="auto" w:sz="4" w:space="0"/>
              <w:bottom w:val="single" w:color="auto" w:sz="4" w:space="0"/>
              <w:right w:val="single" w:color="auto" w:sz="4" w:space="0"/>
            </w:tcBorders>
            <w:vAlign w:val="center"/>
          </w:tcPr>
          <w:p w14:paraId="029B96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14:paraId="4B34EB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反馈月份</w:t>
            </w:r>
          </w:p>
        </w:tc>
        <w:tc>
          <w:tcPr>
            <w:tcW w:w="2343" w:type="dxa"/>
            <w:tcBorders>
              <w:top w:val="single" w:color="auto" w:sz="4" w:space="0"/>
              <w:left w:val="single" w:color="auto" w:sz="4" w:space="0"/>
              <w:bottom w:val="single" w:color="auto" w:sz="4" w:space="0"/>
              <w:right w:val="single" w:color="auto" w:sz="4" w:space="0"/>
            </w:tcBorders>
            <w:vAlign w:val="center"/>
          </w:tcPr>
          <w:p w14:paraId="1F9D25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4F920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99"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439774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履约情况评价</w:t>
            </w:r>
          </w:p>
        </w:tc>
        <w:tc>
          <w:tcPr>
            <w:tcW w:w="70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C531E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分项评价</w:t>
            </w:r>
          </w:p>
        </w:tc>
        <w:tc>
          <w:tcPr>
            <w:tcW w:w="1485" w:type="dxa"/>
            <w:tcBorders>
              <w:top w:val="single" w:color="auto" w:sz="4" w:space="0"/>
              <w:left w:val="single" w:color="auto" w:sz="4" w:space="0"/>
              <w:bottom w:val="single" w:color="auto" w:sz="4" w:space="0"/>
              <w:right w:val="single" w:color="auto" w:sz="4" w:space="0"/>
            </w:tcBorders>
            <w:vAlign w:val="center"/>
          </w:tcPr>
          <w:p w14:paraId="727DC6D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质量方面</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7B4571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61C6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4DBACDD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42E1D6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860FB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价格方面</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5D37E3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5B4B6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10E49C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7DF2B4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E1E1D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服务方面</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1C5D70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31950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4EC084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BB7BB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53E255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时间方面</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46167C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3ADEC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79CDC65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B2BE9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7C8B6D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环境保护</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581248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15773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6AB66A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6ED469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BFFB8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其他</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10C2D9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评价内容为：</w:t>
            </w:r>
          </w:p>
          <w:p w14:paraId="0FCF09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4B0E8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5905C4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2BEBA1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履约总体评价</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56F8C0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优 □ 良 □ 中 □ 差</w:t>
            </w:r>
          </w:p>
        </w:tc>
      </w:tr>
      <w:tr w14:paraId="79DC8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2B044F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突发/应急事件具体情况说明</w:t>
            </w:r>
          </w:p>
        </w:tc>
        <w:tc>
          <w:tcPr>
            <w:tcW w:w="7645" w:type="dxa"/>
            <w:gridSpan w:val="7"/>
            <w:tcBorders>
              <w:top w:val="single" w:color="auto" w:sz="4" w:space="0"/>
              <w:left w:val="single" w:color="auto" w:sz="4" w:space="0"/>
              <w:bottom w:val="single" w:color="auto" w:sz="4" w:space="0"/>
              <w:right w:val="single" w:color="auto" w:sz="4" w:space="0"/>
            </w:tcBorders>
            <w:vAlign w:val="center"/>
          </w:tcPr>
          <w:p w14:paraId="40B937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15EA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99" w:type="dxa"/>
            <w:vMerge w:val="restart"/>
            <w:tcBorders>
              <w:top w:val="single" w:color="auto" w:sz="4" w:space="0"/>
              <w:left w:val="single" w:color="auto" w:sz="4" w:space="0"/>
              <w:bottom w:val="single" w:color="auto" w:sz="4" w:space="0"/>
              <w:right w:val="single" w:color="auto" w:sz="4" w:space="0"/>
            </w:tcBorders>
            <w:vAlign w:val="center"/>
          </w:tcPr>
          <w:p w14:paraId="129093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对整个供应项目的完成情况意见</w:t>
            </w: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5AF3A1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主要表现</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4F9E51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2E86D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99" w:type="dxa"/>
            <w:vMerge w:val="continue"/>
            <w:tcBorders>
              <w:top w:val="single" w:color="auto" w:sz="4" w:space="0"/>
              <w:left w:val="single" w:color="auto" w:sz="4" w:space="0"/>
              <w:bottom w:val="single" w:color="auto" w:sz="4" w:space="0"/>
              <w:right w:val="single" w:color="auto" w:sz="4" w:space="0"/>
            </w:tcBorders>
            <w:vAlign w:val="center"/>
          </w:tcPr>
          <w:p w14:paraId="5239458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404441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存在哪些问题</w:t>
            </w:r>
          </w:p>
        </w:tc>
        <w:tc>
          <w:tcPr>
            <w:tcW w:w="5456" w:type="dxa"/>
            <w:gridSpan w:val="5"/>
            <w:tcBorders>
              <w:top w:val="single" w:color="auto" w:sz="4" w:space="0"/>
              <w:left w:val="single" w:color="auto" w:sz="4" w:space="0"/>
              <w:bottom w:val="single" w:color="auto" w:sz="4" w:space="0"/>
              <w:right w:val="single" w:color="auto" w:sz="4" w:space="0"/>
            </w:tcBorders>
            <w:vAlign w:val="center"/>
          </w:tcPr>
          <w:p w14:paraId="177949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529A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88" w:type="dxa"/>
            <w:gridSpan w:val="3"/>
            <w:tcBorders>
              <w:top w:val="single" w:color="auto" w:sz="4" w:space="0"/>
              <w:left w:val="single" w:color="auto" w:sz="4" w:space="0"/>
              <w:bottom w:val="single" w:color="auto" w:sz="4" w:space="0"/>
              <w:right w:val="single" w:color="auto" w:sz="4" w:space="0"/>
            </w:tcBorders>
            <w:vAlign w:val="center"/>
          </w:tcPr>
          <w:p w14:paraId="2D742DE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对供应商的综合评分(总分100分)</w:t>
            </w:r>
          </w:p>
        </w:tc>
        <w:tc>
          <w:tcPr>
            <w:tcW w:w="1260" w:type="dxa"/>
            <w:tcBorders>
              <w:top w:val="single" w:color="auto" w:sz="4" w:space="0"/>
              <w:left w:val="single" w:color="auto" w:sz="4" w:space="0"/>
              <w:bottom w:val="single" w:color="auto" w:sz="4" w:space="0"/>
              <w:right w:val="single" w:color="auto" w:sz="4" w:space="0"/>
            </w:tcBorders>
            <w:vAlign w:val="center"/>
          </w:tcPr>
          <w:p w14:paraId="57AD5A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14:paraId="2B5025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得分原因</w:t>
            </w:r>
          </w:p>
        </w:tc>
        <w:tc>
          <w:tcPr>
            <w:tcW w:w="2833" w:type="dxa"/>
            <w:gridSpan w:val="2"/>
            <w:tcBorders>
              <w:top w:val="single" w:color="auto" w:sz="4" w:space="0"/>
              <w:left w:val="single" w:color="auto" w:sz="4" w:space="0"/>
              <w:bottom w:val="single" w:color="auto" w:sz="4" w:space="0"/>
              <w:right w:val="single" w:color="auto" w:sz="4" w:space="0"/>
            </w:tcBorders>
            <w:vAlign w:val="center"/>
          </w:tcPr>
          <w:p w14:paraId="05ACD8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r w14:paraId="60D5D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02B255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其它或建议</w:t>
            </w:r>
          </w:p>
        </w:tc>
        <w:tc>
          <w:tcPr>
            <w:tcW w:w="7645" w:type="dxa"/>
            <w:gridSpan w:val="7"/>
            <w:tcBorders>
              <w:top w:val="single" w:color="auto" w:sz="4" w:space="0"/>
              <w:left w:val="single" w:color="auto" w:sz="4" w:space="0"/>
              <w:bottom w:val="single" w:color="auto" w:sz="4" w:space="0"/>
              <w:right w:val="single" w:color="auto" w:sz="4" w:space="0"/>
            </w:tcBorders>
            <w:vAlign w:val="center"/>
          </w:tcPr>
          <w:p w14:paraId="148809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r>
    </w:tbl>
    <w:p w14:paraId="26659D10">
      <w:pPr>
        <w:keepNext w:val="0"/>
        <w:keepLines w:val="0"/>
        <w:pageBreakBefore w:val="0"/>
        <w:tabs>
          <w:tab w:val="left" w:pos="630"/>
        </w:tabs>
        <w:kinsoku/>
        <w:wordWrap/>
        <w:overflowPunct/>
        <w:topLinePunct w:val="0"/>
        <w:bidi w:val="0"/>
        <w:spacing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附件3： 服务供应商履约评价表</w:t>
      </w:r>
    </w:p>
    <w:tbl>
      <w:tblPr>
        <w:tblStyle w:val="22"/>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52"/>
        <w:gridCol w:w="4662"/>
        <w:gridCol w:w="931"/>
        <w:gridCol w:w="2186"/>
      </w:tblGrid>
      <w:tr w14:paraId="5920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7EADF5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tc>
        <w:tc>
          <w:tcPr>
            <w:tcW w:w="752" w:type="dxa"/>
            <w:tcBorders>
              <w:top w:val="single" w:color="auto" w:sz="4" w:space="0"/>
              <w:left w:val="single" w:color="auto" w:sz="4" w:space="0"/>
              <w:bottom w:val="single" w:color="auto" w:sz="4" w:space="0"/>
              <w:right w:val="single" w:color="auto" w:sz="4" w:space="0"/>
            </w:tcBorders>
            <w:vAlign w:val="center"/>
          </w:tcPr>
          <w:p w14:paraId="12E9C08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4662" w:type="dxa"/>
            <w:tcBorders>
              <w:top w:val="single" w:color="auto" w:sz="4" w:space="0"/>
              <w:left w:val="single" w:color="auto" w:sz="4" w:space="0"/>
              <w:bottom w:val="single" w:color="auto" w:sz="4" w:space="0"/>
              <w:right w:val="single" w:color="auto" w:sz="4" w:space="0"/>
            </w:tcBorders>
            <w:vAlign w:val="center"/>
          </w:tcPr>
          <w:p w14:paraId="294968E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考核细则</w:t>
            </w:r>
          </w:p>
        </w:tc>
        <w:tc>
          <w:tcPr>
            <w:tcW w:w="931" w:type="dxa"/>
            <w:tcBorders>
              <w:top w:val="single" w:color="auto" w:sz="4" w:space="0"/>
              <w:left w:val="single" w:color="auto" w:sz="4" w:space="0"/>
              <w:bottom w:val="single" w:color="auto" w:sz="4" w:space="0"/>
              <w:right w:val="single" w:color="auto" w:sz="4" w:space="0"/>
            </w:tcBorders>
            <w:vAlign w:val="center"/>
          </w:tcPr>
          <w:p w14:paraId="6CBDA62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扣分值</w:t>
            </w:r>
          </w:p>
        </w:tc>
        <w:tc>
          <w:tcPr>
            <w:tcW w:w="2186" w:type="dxa"/>
            <w:tcBorders>
              <w:top w:val="single" w:color="auto" w:sz="4" w:space="0"/>
              <w:left w:val="single" w:color="auto" w:sz="4" w:space="0"/>
              <w:bottom w:val="single" w:color="auto" w:sz="4" w:space="0"/>
              <w:right w:val="single" w:color="auto" w:sz="4" w:space="0"/>
            </w:tcBorders>
            <w:vAlign w:val="center"/>
          </w:tcPr>
          <w:p w14:paraId="1765C5B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备  注</w:t>
            </w:r>
          </w:p>
        </w:tc>
      </w:tr>
      <w:tr w14:paraId="3239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14:paraId="24C3979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价格</w:t>
            </w:r>
          </w:p>
        </w:tc>
        <w:tc>
          <w:tcPr>
            <w:tcW w:w="752" w:type="dxa"/>
            <w:tcBorders>
              <w:top w:val="single" w:color="auto" w:sz="4" w:space="0"/>
              <w:left w:val="single" w:color="auto" w:sz="4" w:space="0"/>
              <w:bottom w:val="single" w:color="auto" w:sz="4" w:space="0"/>
              <w:right w:val="single" w:color="auto" w:sz="4" w:space="0"/>
            </w:tcBorders>
            <w:vAlign w:val="center"/>
          </w:tcPr>
          <w:p w14:paraId="1D9917E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662" w:type="dxa"/>
            <w:tcBorders>
              <w:top w:val="single" w:color="auto" w:sz="4" w:space="0"/>
              <w:left w:val="single" w:color="auto" w:sz="4" w:space="0"/>
              <w:bottom w:val="single" w:color="auto" w:sz="4" w:space="0"/>
              <w:right w:val="single" w:color="auto" w:sz="4" w:space="0"/>
            </w:tcBorders>
            <w:vAlign w:val="top"/>
          </w:tcPr>
          <w:p w14:paraId="645CF68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未按合同价格供货的，每发现一项次扣5分；</w:t>
            </w:r>
          </w:p>
        </w:tc>
        <w:tc>
          <w:tcPr>
            <w:tcW w:w="931" w:type="dxa"/>
            <w:tcBorders>
              <w:top w:val="single" w:color="auto" w:sz="4" w:space="0"/>
              <w:left w:val="single" w:color="auto" w:sz="4" w:space="0"/>
              <w:bottom w:val="single" w:color="auto" w:sz="4" w:space="0"/>
              <w:right w:val="single" w:color="auto" w:sz="4" w:space="0"/>
            </w:tcBorders>
            <w:vAlign w:val="top"/>
          </w:tcPr>
          <w:p w14:paraId="564F11C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370B6DF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3AF5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10FBF63F">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5766C51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662" w:type="dxa"/>
            <w:tcBorders>
              <w:top w:val="single" w:color="auto" w:sz="4" w:space="0"/>
              <w:left w:val="single" w:color="auto" w:sz="4" w:space="0"/>
              <w:bottom w:val="single" w:color="auto" w:sz="4" w:space="0"/>
              <w:right w:val="single" w:color="auto" w:sz="4" w:space="0"/>
            </w:tcBorders>
            <w:vAlign w:val="top"/>
          </w:tcPr>
          <w:p w14:paraId="360F2CC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未按合同约定时限，根据市场价格变化调整价格的，扣5分；</w:t>
            </w:r>
          </w:p>
        </w:tc>
        <w:tc>
          <w:tcPr>
            <w:tcW w:w="931" w:type="dxa"/>
            <w:tcBorders>
              <w:top w:val="single" w:color="auto" w:sz="4" w:space="0"/>
              <w:left w:val="single" w:color="auto" w:sz="4" w:space="0"/>
              <w:bottom w:val="single" w:color="auto" w:sz="4" w:space="0"/>
              <w:right w:val="single" w:color="auto" w:sz="4" w:space="0"/>
            </w:tcBorders>
            <w:vAlign w:val="top"/>
          </w:tcPr>
          <w:p w14:paraId="601C3CC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25481AE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7F81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14:paraId="05A8D2C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交货</w:t>
            </w:r>
          </w:p>
        </w:tc>
        <w:tc>
          <w:tcPr>
            <w:tcW w:w="752" w:type="dxa"/>
            <w:tcBorders>
              <w:top w:val="single" w:color="auto" w:sz="4" w:space="0"/>
              <w:left w:val="single" w:color="auto" w:sz="4" w:space="0"/>
              <w:bottom w:val="single" w:color="auto" w:sz="4" w:space="0"/>
              <w:right w:val="single" w:color="auto" w:sz="4" w:space="0"/>
            </w:tcBorders>
            <w:vAlign w:val="center"/>
          </w:tcPr>
          <w:p w14:paraId="4FB42A7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662" w:type="dxa"/>
            <w:tcBorders>
              <w:top w:val="single" w:color="auto" w:sz="4" w:space="0"/>
              <w:left w:val="single" w:color="auto" w:sz="4" w:space="0"/>
              <w:bottom w:val="single" w:color="auto" w:sz="4" w:space="0"/>
              <w:right w:val="single" w:color="auto" w:sz="4" w:space="0"/>
            </w:tcBorders>
            <w:vAlign w:val="top"/>
          </w:tcPr>
          <w:p w14:paraId="584B5BE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违反招投标文件和合同的规定，擅自更改供应货物品牌、规格和质量的，每项次扣5分；</w:t>
            </w:r>
          </w:p>
        </w:tc>
        <w:tc>
          <w:tcPr>
            <w:tcW w:w="931" w:type="dxa"/>
            <w:tcBorders>
              <w:top w:val="single" w:color="auto" w:sz="4" w:space="0"/>
              <w:left w:val="single" w:color="auto" w:sz="4" w:space="0"/>
              <w:bottom w:val="single" w:color="auto" w:sz="4" w:space="0"/>
              <w:right w:val="single" w:color="auto" w:sz="4" w:space="0"/>
            </w:tcBorders>
            <w:vAlign w:val="top"/>
          </w:tcPr>
          <w:p w14:paraId="33FBB62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7D22AC7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30E0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7F8ADE15">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0C43650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662" w:type="dxa"/>
            <w:tcBorders>
              <w:top w:val="single" w:color="auto" w:sz="4" w:space="0"/>
              <w:left w:val="single" w:color="auto" w:sz="4" w:space="0"/>
              <w:bottom w:val="single" w:color="auto" w:sz="4" w:space="0"/>
              <w:right w:val="single" w:color="auto" w:sz="4" w:space="0"/>
            </w:tcBorders>
            <w:vAlign w:val="top"/>
          </w:tcPr>
          <w:p w14:paraId="4BFF9E6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未按招标人采购计划的品种、数量、时间供货的，每发生一次扣2分；</w:t>
            </w:r>
          </w:p>
        </w:tc>
        <w:tc>
          <w:tcPr>
            <w:tcW w:w="931" w:type="dxa"/>
            <w:tcBorders>
              <w:top w:val="single" w:color="auto" w:sz="4" w:space="0"/>
              <w:left w:val="single" w:color="auto" w:sz="4" w:space="0"/>
              <w:bottom w:val="single" w:color="auto" w:sz="4" w:space="0"/>
              <w:right w:val="single" w:color="auto" w:sz="4" w:space="0"/>
            </w:tcBorders>
            <w:vAlign w:val="top"/>
          </w:tcPr>
          <w:p w14:paraId="6F43B08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0C77584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49E9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4299BBE0">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529F448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662" w:type="dxa"/>
            <w:tcBorders>
              <w:top w:val="single" w:color="auto" w:sz="4" w:space="0"/>
              <w:left w:val="single" w:color="auto" w:sz="4" w:space="0"/>
              <w:bottom w:val="single" w:color="auto" w:sz="4" w:space="0"/>
              <w:right w:val="single" w:color="auto" w:sz="4" w:space="0"/>
            </w:tcBorders>
            <w:vAlign w:val="top"/>
          </w:tcPr>
          <w:p w14:paraId="629DEF5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菜品无价格、品名规格、实收数量未验收擅自填写的每发现一起扣5分；</w:t>
            </w:r>
          </w:p>
        </w:tc>
        <w:tc>
          <w:tcPr>
            <w:tcW w:w="931" w:type="dxa"/>
            <w:tcBorders>
              <w:top w:val="single" w:color="auto" w:sz="4" w:space="0"/>
              <w:left w:val="single" w:color="auto" w:sz="4" w:space="0"/>
              <w:bottom w:val="single" w:color="auto" w:sz="4" w:space="0"/>
              <w:right w:val="single" w:color="auto" w:sz="4" w:space="0"/>
            </w:tcBorders>
            <w:vAlign w:val="top"/>
          </w:tcPr>
          <w:p w14:paraId="318D71B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79EAD25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1719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2F80B28B">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027B356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662" w:type="dxa"/>
            <w:tcBorders>
              <w:top w:val="single" w:color="auto" w:sz="4" w:space="0"/>
              <w:left w:val="single" w:color="auto" w:sz="4" w:space="0"/>
              <w:bottom w:val="single" w:color="auto" w:sz="4" w:space="0"/>
              <w:right w:val="single" w:color="auto" w:sz="4" w:space="0"/>
            </w:tcBorders>
            <w:vAlign w:val="top"/>
          </w:tcPr>
          <w:p w14:paraId="2110170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未及时按要求随货提供相关票证的，每项次扣2分；</w:t>
            </w:r>
          </w:p>
        </w:tc>
        <w:tc>
          <w:tcPr>
            <w:tcW w:w="931" w:type="dxa"/>
            <w:tcBorders>
              <w:top w:val="single" w:color="auto" w:sz="4" w:space="0"/>
              <w:left w:val="single" w:color="auto" w:sz="4" w:space="0"/>
              <w:bottom w:val="single" w:color="auto" w:sz="4" w:space="0"/>
              <w:right w:val="single" w:color="auto" w:sz="4" w:space="0"/>
            </w:tcBorders>
            <w:vAlign w:val="top"/>
          </w:tcPr>
          <w:p w14:paraId="7E5F346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7860ABC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1076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16F5310B">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6965563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662" w:type="dxa"/>
            <w:tcBorders>
              <w:top w:val="single" w:color="auto" w:sz="4" w:space="0"/>
              <w:left w:val="single" w:color="auto" w:sz="4" w:space="0"/>
              <w:bottom w:val="single" w:color="auto" w:sz="4" w:space="0"/>
              <w:right w:val="single" w:color="auto" w:sz="4" w:space="0"/>
            </w:tcBorders>
            <w:vAlign w:val="top"/>
          </w:tcPr>
          <w:p w14:paraId="2E7A48E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未按招标人指定秩序卸货的，每次扣2分；</w:t>
            </w:r>
          </w:p>
        </w:tc>
        <w:tc>
          <w:tcPr>
            <w:tcW w:w="931" w:type="dxa"/>
            <w:tcBorders>
              <w:top w:val="single" w:color="auto" w:sz="4" w:space="0"/>
              <w:left w:val="single" w:color="auto" w:sz="4" w:space="0"/>
              <w:bottom w:val="single" w:color="auto" w:sz="4" w:space="0"/>
              <w:right w:val="single" w:color="auto" w:sz="4" w:space="0"/>
            </w:tcBorders>
            <w:vAlign w:val="top"/>
          </w:tcPr>
          <w:p w14:paraId="1C22766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15048B1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6EA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64419D73">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3903F8B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662" w:type="dxa"/>
            <w:tcBorders>
              <w:top w:val="single" w:color="auto" w:sz="4" w:space="0"/>
              <w:left w:val="single" w:color="auto" w:sz="4" w:space="0"/>
              <w:bottom w:val="single" w:color="auto" w:sz="4" w:space="0"/>
              <w:right w:val="single" w:color="auto" w:sz="4" w:space="0"/>
            </w:tcBorders>
            <w:vAlign w:val="top"/>
          </w:tcPr>
          <w:p w14:paraId="35F9C97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发生退货情况，造成招标人伙食无法按时供应的，每发生一次扣5分；</w:t>
            </w:r>
          </w:p>
        </w:tc>
        <w:tc>
          <w:tcPr>
            <w:tcW w:w="931" w:type="dxa"/>
            <w:tcBorders>
              <w:top w:val="single" w:color="auto" w:sz="4" w:space="0"/>
              <w:left w:val="single" w:color="auto" w:sz="4" w:space="0"/>
              <w:bottom w:val="single" w:color="auto" w:sz="4" w:space="0"/>
              <w:right w:val="single" w:color="auto" w:sz="4" w:space="0"/>
            </w:tcBorders>
            <w:vAlign w:val="top"/>
          </w:tcPr>
          <w:p w14:paraId="5EE4D4D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63662D7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68BF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restart"/>
            <w:tcBorders>
              <w:top w:val="single" w:color="auto" w:sz="4" w:space="0"/>
              <w:left w:val="single" w:color="auto" w:sz="4" w:space="0"/>
              <w:right w:val="single" w:color="auto" w:sz="4" w:space="0"/>
            </w:tcBorders>
            <w:vAlign w:val="center"/>
          </w:tcPr>
          <w:p w14:paraId="499184C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质量</w:t>
            </w:r>
          </w:p>
        </w:tc>
        <w:tc>
          <w:tcPr>
            <w:tcW w:w="752" w:type="dxa"/>
            <w:tcBorders>
              <w:top w:val="single" w:color="auto" w:sz="4" w:space="0"/>
              <w:left w:val="single" w:color="auto" w:sz="4" w:space="0"/>
              <w:bottom w:val="single" w:color="auto" w:sz="4" w:space="0"/>
              <w:right w:val="single" w:color="auto" w:sz="4" w:space="0"/>
            </w:tcBorders>
            <w:vAlign w:val="center"/>
          </w:tcPr>
          <w:p w14:paraId="52AF5B1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662" w:type="dxa"/>
            <w:tcBorders>
              <w:top w:val="single" w:color="auto" w:sz="4" w:space="0"/>
              <w:left w:val="single" w:color="auto" w:sz="4" w:space="0"/>
              <w:bottom w:val="single" w:color="auto" w:sz="4" w:space="0"/>
              <w:right w:val="single" w:color="auto" w:sz="4" w:space="0"/>
            </w:tcBorders>
            <w:vAlign w:val="top"/>
          </w:tcPr>
          <w:p w14:paraId="0002A36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同一品种货物三次（含本数）以上发现质量不合格产品的，扣5分；</w:t>
            </w:r>
          </w:p>
        </w:tc>
        <w:tc>
          <w:tcPr>
            <w:tcW w:w="931" w:type="dxa"/>
            <w:tcBorders>
              <w:top w:val="single" w:color="auto" w:sz="4" w:space="0"/>
              <w:left w:val="single" w:color="auto" w:sz="4" w:space="0"/>
              <w:bottom w:val="single" w:color="auto" w:sz="4" w:space="0"/>
              <w:right w:val="single" w:color="auto" w:sz="4" w:space="0"/>
            </w:tcBorders>
            <w:vAlign w:val="top"/>
          </w:tcPr>
          <w:p w14:paraId="029D814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0FA3925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2DD6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continue"/>
            <w:tcBorders>
              <w:left w:val="single" w:color="auto" w:sz="4" w:space="0"/>
              <w:right w:val="single" w:color="auto" w:sz="4" w:space="0"/>
            </w:tcBorders>
            <w:vAlign w:val="center"/>
          </w:tcPr>
          <w:p w14:paraId="7E8FDC10">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56E131A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662" w:type="dxa"/>
            <w:tcBorders>
              <w:top w:val="single" w:color="auto" w:sz="4" w:space="0"/>
              <w:left w:val="single" w:color="auto" w:sz="4" w:space="0"/>
              <w:bottom w:val="single" w:color="auto" w:sz="4" w:space="0"/>
              <w:right w:val="single" w:color="auto" w:sz="4" w:space="0"/>
            </w:tcBorders>
            <w:vAlign w:val="top"/>
          </w:tcPr>
          <w:p w14:paraId="28513B4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产品验收不合格，每拒收一批次扣2分；</w:t>
            </w:r>
          </w:p>
        </w:tc>
        <w:tc>
          <w:tcPr>
            <w:tcW w:w="931" w:type="dxa"/>
            <w:tcBorders>
              <w:top w:val="single" w:color="auto" w:sz="4" w:space="0"/>
              <w:left w:val="single" w:color="auto" w:sz="4" w:space="0"/>
              <w:bottom w:val="single" w:color="auto" w:sz="4" w:space="0"/>
              <w:right w:val="single" w:color="auto" w:sz="4" w:space="0"/>
            </w:tcBorders>
            <w:vAlign w:val="top"/>
          </w:tcPr>
          <w:p w14:paraId="1CEEE4A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407D7F7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0984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continue"/>
            <w:tcBorders>
              <w:left w:val="single" w:color="auto" w:sz="4" w:space="0"/>
              <w:right w:val="single" w:color="auto" w:sz="4" w:space="0"/>
            </w:tcBorders>
            <w:vAlign w:val="center"/>
          </w:tcPr>
          <w:p w14:paraId="69B65DFE">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6099E56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4662" w:type="dxa"/>
            <w:tcBorders>
              <w:top w:val="single" w:color="auto" w:sz="4" w:space="0"/>
              <w:left w:val="single" w:color="auto" w:sz="4" w:space="0"/>
              <w:bottom w:val="single" w:color="auto" w:sz="4" w:space="0"/>
              <w:right w:val="single" w:color="auto" w:sz="4" w:space="0"/>
            </w:tcBorders>
            <w:vAlign w:val="top"/>
          </w:tcPr>
          <w:p w14:paraId="64AC3C5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把招标人验收不合格退货的货物重新配送给招标人的，每发现一次扣5分；</w:t>
            </w:r>
          </w:p>
        </w:tc>
        <w:tc>
          <w:tcPr>
            <w:tcW w:w="931" w:type="dxa"/>
            <w:tcBorders>
              <w:top w:val="single" w:color="auto" w:sz="4" w:space="0"/>
              <w:left w:val="single" w:color="auto" w:sz="4" w:space="0"/>
              <w:bottom w:val="single" w:color="auto" w:sz="4" w:space="0"/>
              <w:right w:val="single" w:color="auto" w:sz="4" w:space="0"/>
            </w:tcBorders>
            <w:vAlign w:val="top"/>
          </w:tcPr>
          <w:p w14:paraId="38A26AD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1D9232A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0825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continue"/>
            <w:tcBorders>
              <w:left w:val="single" w:color="auto" w:sz="4" w:space="0"/>
              <w:right w:val="single" w:color="auto" w:sz="4" w:space="0"/>
            </w:tcBorders>
            <w:vAlign w:val="center"/>
          </w:tcPr>
          <w:p w14:paraId="6AEF68EC">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4626786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4662" w:type="dxa"/>
            <w:tcBorders>
              <w:top w:val="single" w:color="auto" w:sz="4" w:space="0"/>
              <w:left w:val="single" w:color="auto" w:sz="4" w:space="0"/>
              <w:bottom w:val="single" w:color="auto" w:sz="4" w:space="0"/>
              <w:right w:val="single" w:color="auto" w:sz="4" w:space="0"/>
            </w:tcBorders>
            <w:vAlign w:val="top"/>
          </w:tcPr>
          <w:p w14:paraId="2EF0611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供应商在包装、运输、装卸等环节不符合食品卫生要求的，每发现一次扣5分；</w:t>
            </w:r>
          </w:p>
        </w:tc>
        <w:tc>
          <w:tcPr>
            <w:tcW w:w="931" w:type="dxa"/>
            <w:tcBorders>
              <w:top w:val="single" w:color="auto" w:sz="4" w:space="0"/>
              <w:left w:val="single" w:color="auto" w:sz="4" w:space="0"/>
              <w:bottom w:val="single" w:color="auto" w:sz="4" w:space="0"/>
              <w:right w:val="single" w:color="auto" w:sz="4" w:space="0"/>
            </w:tcBorders>
            <w:vAlign w:val="top"/>
          </w:tcPr>
          <w:p w14:paraId="7C5059B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1B42A80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601F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continue"/>
            <w:tcBorders>
              <w:left w:val="single" w:color="auto" w:sz="4" w:space="0"/>
              <w:right w:val="single" w:color="auto" w:sz="4" w:space="0"/>
            </w:tcBorders>
            <w:vAlign w:val="center"/>
          </w:tcPr>
          <w:p w14:paraId="5471F4F8">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79416B4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4662" w:type="dxa"/>
            <w:tcBorders>
              <w:top w:val="single" w:color="auto" w:sz="4" w:space="0"/>
              <w:left w:val="single" w:color="auto" w:sz="4" w:space="0"/>
              <w:bottom w:val="single" w:color="auto" w:sz="4" w:space="0"/>
              <w:right w:val="single" w:color="auto" w:sz="4" w:space="0"/>
            </w:tcBorders>
            <w:vAlign w:val="top"/>
          </w:tcPr>
          <w:p w14:paraId="1AF1793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货物出现质量问题，供应商不积极配合查找原因，不及时反馈处理结果的，每次扣2分；</w:t>
            </w:r>
          </w:p>
        </w:tc>
        <w:tc>
          <w:tcPr>
            <w:tcW w:w="931" w:type="dxa"/>
            <w:tcBorders>
              <w:top w:val="single" w:color="auto" w:sz="4" w:space="0"/>
              <w:left w:val="single" w:color="auto" w:sz="4" w:space="0"/>
              <w:bottom w:val="single" w:color="auto" w:sz="4" w:space="0"/>
              <w:right w:val="single" w:color="auto" w:sz="4" w:space="0"/>
            </w:tcBorders>
            <w:vAlign w:val="top"/>
          </w:tcPr>
          <w:p w14:paraId="265D42F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0AF9EC1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0356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2" w:type="dxa"/>
            <w:vMerge w:val="continue"/>
            <w:tcBorders>
              <w:left w:val="single" w:color="auto" w:sz="4" w:space="0"/>
              <w:right w:val="single" w:color="auto" w:sz="4" w:space="0"/>
            </w:tcBorders>
            <w:vAlign w:val="center"/>
          </w:tcPr>
          <w:p w14:paraId="1DA30C4B">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01C303A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4662" w:type="dxa"/>
            <w:tcBorders>
              <w:top w:val="single" w:color="auto" w:sz="4" w:space="0"/>
              <w:left w:val="single" w:color="auto" w:sz="4" w:space="0"/>
              <w:bottom w:val="single" w:color="auto" w:sz="4" w:space="0"/>
              <w:right w:val="single" w:color="auto" w:sz="4" w:space="0"/>
            </w:tcBorders>
            <w:vAlign w:val="top"/>
          </w:tcPr>
          <w:p w14:paraId="5F6BD62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对招标人提出的合理建议未能在约定期限内回复的，每次扣2分；</w:t>
            </w:r>
          </w:p>
        </w:tc>
        <w:tc>
          <w:tcPr>
            <w:tcW w:w="931" w:type="dxa"/>
            <w:tcBorders>
              <w:top w:val="single" w:color="auto" w:sz="4" w:space="0"/>
              <w:left w:val="single" w:color="auto" w:sz="4" w:space="0"/>
              <w:bottom w:val="single" w:color="auto" w:sz="4" w:space="0"/>
              <w:right w:val="single" w:color="auto" w:sz="4" w:space="0"/>
            </w:tcBorders>
            <w:vAlign w:val="top"/>
          </w:tcPr>
          <w:p w14:paraId="6AF883B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0750B65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7A89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2" w:type="dxa"/>
            <w:vMerge w:val="continue"/>
            <w:tcBorders>
              <w:left w:val="single" w:color="auto" w:sz="4" w:space="0"/>
              <w:right w:val="single" w:color="auto" w:sz="4" w:space="0"/>
            </w:tcBorders>
            <w:vAlign w:val="center"/>
          </w:tcPr>
          <w:p w14:paraId="1ABAA15C">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743AF5D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4662" w:type="dxa"/>
            <w:tcBorders>
              <w:top w:val="single" w:color="auto" w:sz="4" w:space="0"/>
              <w:left w:val="single" w:color="auto" w:sz="4" w:space="0"/>
              <w:bottom w:val="single" w:color="auto" w:sz="4" w:space="0"/>
              <w:right w:val="single" w:color="auto" w:sz="4" w:space="0"/>
            </w:tcBorders>
            <w:vAlign w:val="top"/>
          </w:tcPr>
          <w:p w14:paraId="39791CA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供应商组织机构发生调整，或经营场所、联系人、联系方式变更，未及时通知招标人后勤部门，造成无法及时联系的，每次扣2分；</w:t>
            </w:r>
          </w:p>
        </w:tc>
        <w:tc>
          <w:tcPr>
            <w:tcW w:w="931" w:type="dxa"/>
            <w:tcBorders>
              <w:top w:val="single" w:color="auto" w:sz="4" w:space="0"/>
              <w:left w:val="single" w:color="auto" w:sz="4" w:space="0"/>
              <w:bottom w:val="single" w:color="auto" w:sz="4" w:space="0"/>
              <w:right w:val="single" w:color="auto" w:sz="4" w:space="0"/>
            </w:tcBorders>
            <w:vAlign w:val="top"/>
          </w:tcPr>
          <w:p w14:paraId="1893107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5DBC47C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4705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2" w:type="dxa"/>
            <w:vMerge w:val="continue"/>
            <w:tcBorders>
              <w:left w:val="single" w:color="auto" w:sz="4" w:space="0"/>
              <w:right w:val="single" w:color="auto" w:sz="4" w:space="0"/>
            </w:tcBorders>
            <w:vAlign w:val="center"/>
          </w:tcPr>
          <w:p w14:paraId="06C26716">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0C662A3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4662" w:type="dxa"/>
            <w:tcBorders>
              <w:top w:val="single" w:color="auto" w:sz="4" w:space="0"/>
              <w:left w:val="single" w:color="auto" w:sz="4" w:space="0"/>
              <w:bottom w:val="single" w:color="auto" w:sz="4" w:space="0"/>
              <w:right w:val="single" w:color="auto" w:sz="4" w:space="0"/>
            </w:tcBorders>
            <w:vAlign w:val="top"/>
          </w:tcPr>
          <w:p w14:paraId="48A0440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所送菜品以次充好、短斤缺两、货不对版的每发现一起扣20分；</w:t>
            </w:r>
          </w:p>
        </w:tc>
        <w:tc>
          <w:tcPr>
            <w:tcW w:w="931" w:type="dxa"/>
            <w:tcBorders>
              <w:top w:val="single" w:color="auto" w:sz="4" w:space="0"/>
              <w:left w:val="single" w:color="auto" w:sz="4" w:space="0"/>
              <w:bottom w:val="single" w:color="auto" w:sz="4" w:space="0"/>
              <w:right w:val="single" w:color="auto" w:sz="4" w:space="0"/>
            </w:tcBorders>
            <w:vAlign w:val="top"/>
          </w:tcPr>
          <w:p w14:paraId="78FF7DC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5E94124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252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2" w:type="dxa"/>
            <w:vMerge w:val="continue"/>
            <w:tcBorders>
              <w:left w:val="single" w:color="auto" w:sz="4" w:space="0"/>
              <w:bottom w:val="single" w:color="auto" w:sz="4" w:space="0"/>
              <w:right w:val="single" w:color="auto" w:sz="4" w:space="0"/>
            </w:tcBorders>
            <w:vAlign w:val="center"/>
          </w:tcPr>
          <w:p w14:paraId="0B7DA203">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0834954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4662" w:type="dxa"/>
            <w:tcBorders>
              <w:top w:val="single" w:color="auto" w:sz="4" w:space="0"/>
              <w:left w:val="single" w:color="auto" w:sz="4" w:space="0"/>
              <w:bottom w:val="single" w:color="auto" w:sz="4" w:space="0"/>
              <w:right w:val="single" w:color="auto" w:sz="4" w:space="0"/>
            </w:tcBorders>
            <w:vAlign w:val="top"/>
          </w:tcPr>
          <w:p w14:paraId="7EF56AF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因质量问题退货后明知故犯重复计算的每发生一起扣20分</w:t>
            </w:r>
            <w:r>
              <w:rPr>
                <w:rFonts w:hint="eastAsia" w:ascii="宋体" w:hAnsi="宋体" w:cs="宋体"/>
                <w:sz w:val="21"/>
                <w:szCs w:val="21"/>
                <w:lang w:eastAsia="zh-CN"/>
              </w:rPr>
              <w:t>；</w:t>
            </w:r>
          </w:p>
        </w:tc>
        <w:tc>
          <w:tcPr>
            <w:tcW w:w="931" w:type="dxa"/>
            <w:tcBorders>
              <w:top w:val="single" w:color="auto" w:sz="4" w:space="0"/>
              <w:left w:val="single" w:color="auto" w:sz="4" w:space="0"/>
              <w:bottom w:val="single" w:color="auto" w:sz="4" w:space="0"/>
              <w:right w:val="single" w:color="auto" w:sz="4" w:space="0"/>
            </w:tcBorders>
            <w:vAlign w:val="top"/>
          </w:tcPr>
          <w:p w14:paraId="32DB400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3EDC592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0F54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14:paraId="4DC72C0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其他</w:t>
            </w:r>
          </w:p>
        </w:tc>
        <w:tc>
          <w:tcPr>
            <w:tcW w:w="752" w:type="dxa"/>
            <w:tcBorders>
              <w:top w:val="single" w:color="auto" w:sz="4" w:space="0"/>
              <w:left w:val="single" w:color="auto" w:sz="4" w:space="0"/>
              <w:bottom w:val="single" w:color="auto" w:sz="4" w:space="0"/>
              <w:right w:val="single" w:color="auto" w:sz="4" w:space="0"/>
            </w:tcBorders>
            <w:vAlign w:val="center"/>
          </w:tcPr>
          <w:p w14:paraId="5E08BDD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4662" w:type="dxa"/>
            <w:tcBorders>
              <w:top w:val="single" w:color="auto" w:sz="4" w:space="0"/>
              <w:left w:val="single" w:color="auto" w:sz="4" w:space="0"/>
              <w:bottom w:val="single" w:color="auto" w:sz="4" w:space="0"/>
              <w:right w:val="single" w:color="auto" w:sz="4" w:space="0"/>
            </w:tcBorders>
            <w:vAlign w:val="top"/>
          </w:tcPr>
          <w:p w14:paraId="09F797F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供应商工作人员不遵守招标人各项管理规定，每次扣5分；</w:t>
            </w:r>
          </w:p>
        </w:tc>
        <w:tc>
          <w:tcPr>
            <w:tcW w:w="931" w:type="dxa"/>
            <w:tcBorders>
              <w:top w:val="single" w:color="auto" w:sz="4" w:space="0"/>
              <w:left w:val="single" w:color="auto" w:sz="4" w:space="0"/>
              <w:bottom w:val="single" w:color="auto" w:sz="4" w:space="0"/>
              <w:right w:val="single" w:color="auto" w:sz="4" w:space="0"/>
            </w:tcBorders>
            <w:vAlign w:val="top"/>
          </w:tcPr>
          <w:p w14:paraId="3A3681F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44D012E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6F12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47A31D2D">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rPr>
            </w:pPr>
          </w:p>
        </w:tc>
        <w:tc>
          <w:tcPr>
            <w:tcW w:w="752" w:type="dxa"/>
            <w:tcBorders>
              <w:top w:val="single" w:color="auto" w:sz="4" w:space="0"/>
              <w:left w:val="single" w:color="auto" w:sz="4" w:space="0"/>
              <w:bottom w:val="single" w:color="auto" w:sz="4" w:space="0"/>
              <w:right w:val="single" w:color="auto" w:sz="4" w:space="0"/>
            </w:tcBorders>
            <w:vAlign w:val="center"/>
          </w:tcPr>
          <w:p w14:paraId="3CF2067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9</w:t>
            </w:r>
          </w:p>
        </w:tc>
        <w:tc>
          <w:tcPr>
            <w:tcW w:w="4662" w:type="dxa"/>
            <w:tcBorders>
              <w:top w:val="single" w:color="auto" w:sz="4" w:space="0"/>
              <w:left w:val="single" w:color="auto" w:sz="4" w:space="0"/>
              <w:bottom w:val="single" w:color="auto" w:sz="4" w:space="0"/>
              <w:right w:val="single" w:color="auto" w:sz="4" w:space="0"/>
            </w:tcBorders>
            <w:vAlign w:val="top"/>
          </w:tcPr>
          <w:p w14:paraId="2A04CFB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招标人认为应当对供应商进行考核的其他内容。</w:t>
            </w:r>
          </w:p>
        </w:tc>
        <w:tc>
          <w:tcPr>
            <w:tcW w:w="931" w:type="dxa"/>
            <w:tcBorders>
              <w:top w:val="single" w:color="auto" w:sz="4" w:space="0"/>
              <w:left w:val="single" w:color="auto" w:sz="4" w:space="0"/>
              <w:bottom w:val="single" w:color="auto" w:sz="4" w:space="0"/>
              <w:right w:val="single" w:color="auto" w:sz="4" w:space="0"/>
            </w:tcBorders>
            <w:vAlign w:val="top"/>
          </w:tcPr>
          <w:p w14:paraId="34BC1B8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c>
          <w:tcPr>
            <w:tcW w:w="2186" w:type="dxa"/>
            <w:tcBorders>
              <w:top w:val="single" w:color="auto" w:sz="4" w:space="0"/>
              <w:left w:val="single" w:color="auto" w:sz="4" w:space="0"/>
              <w:bottom w:val="single" w:color="auto" w:sz="4" w:space="0"/>
              <w:right w:val="single" w:color="auto" w:sz="4" w:space="0"/>
            </w:tcBorders>
            <w:vAlign w:val="top"/>
          </w:tcPr>
          <w:p w14:paraId="4B79E1C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1"/>
                <w:szCs w:val="21"/>
              </w:rPr>
            </w:pPr>
          </w:p>
        </w:tc>
      </w:tr>
      <w:tr w14:paraId="781E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02" w:type="dxa"/>
            <w:tcBorders>
              <w:top w:val="single" w:color="auto" w:sz="4" w:space="0"/>
              <w:left w:val="single" w:color="auto" w:sz="4" w:space="0"/>
              <w:bottom w:val="single" w:color="auto" w:sz="4" w:space="0"/>
              <w:right w:val="single" w:color="auto" w:sz="4" w:space="0"/>
            </w:tcBorders>
            <w:vAlign w:val="top"/>
          </w:tcPr>
          <w:p w14:paraId="1B6F274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扣分合计</w:t>
            </w:r>
          </w:p>
        </w:tc>
        <w:tc>
          <w:tcPr>
            <w:tcW w:w="8531" w:type="dxa"/>
            <w:gridSpan w:val="4"/>
            <w:tcBorders>
              <w:top w:val="single" w:color="auto" w:sz="4" w:space="0"/>
              <w:left w:val="single" w:color="auto" w:sz="4" w:space="0"/>
              <w:bottom w:val="single" w:color="auto" w:sz="4" w:space="0"/>
              <w:right w:val="single" w:color="auto" w:sz="4" w:space="0"/>
            </w:tcBorders>
            <w:vAlign w:val="center"/>
          </w:tcPr>
          <w:p w14:paraId="516D25D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p>
        </w:tc>
      </w:tr>
      <w:tr w14:paraId="34BA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tcBorders>
              <w:top w:val="single" w:color="auto" w:sz="4" w:space="0"/>
              <w:left w:val="single" w:color="auto" w:sz="4" w:space="0"/>
              <w:bottom w:val="single" w:color="auto" w:sz="4" w:space="0"/>
              <w:right w:val="single" w:color="auto" w:sz="4" w:space="0"/>
            </w:tcBorders>
            <w:vAlign w:val="top"/>
          </w:tcPr>
          <w:p w14:paraId="424CC55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考核人</w:t>
            </w:r>
          </w:p>
        </w:tc>
        <w:tc>
          <w:tcPr>
            <w:tcW w:w="8531" w:type="dxa"/>
            <w:gridSpan w:val="4"/>
            <w:tcBorders>
              <w:top w:val="single" w:color="auto" w:sz="4" w:space="0"/>
              <w:left w:val="single" w:color="auto" w:sz="4" w:space="0"/>
              <w:bottom w:val="single" w:color="auto" w:sz="4" w:space="0"/>
              <w:right w:val="single" w:color="auto" w:sz="4" w:space="0"/>
            </w:tcBorders>
            <w:vAlign w:val="center"/>
          </w:tcPr>
          <w:p w14:paraId="0C5890E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sz w:val="21"/>
                <w:szCs w:val="21"/>
              </w:rPr>
            </w:pPr>
          </w:p>
        </w:tc>
      </w:tr>
    </w:tbl>
    <w:p w14:paraId="1790A007">
      <w:pPr>
        <w:keepNext w:val="0"/>
        <w:keepLines w:val="0"/>
        <w:pageBreakBefore w:val="0"/>
        <w:widowControl/>
        <w:shd w:val="clear" w:color="auto" w:fill="FFFFFF"/>
        <w:kinsoku/>
        <w:wordWrap/>
        <w:overflowPunct/>
        <w:topLinePunct w:val="0"/>
        <w:bidi w:val="0"/>
        <w:adjustRightInd w:val="0"/>
        <w:snapToGrid w:val="0"/>
        <w:spacing w:line="360" w:lineRule="auto"/>
        <w:ind w:left="0" w:leftChars="0" w:firstLine="420" w:firstLineChars="200"/>
        <w:textAlignment w:val="auto"/>
        <w:rPr>
          <w:rFonts w:cs="仿宋" w:asciiTheme="minorEastAsia" w:hAnsiTheme="minorEastAsia"/>
        </w:rPr>
      </w:pPr>
      <w:r>
        <w:rPr>
          <w:rFonts w:hint="eastAsia" w:ascii="宋体" w:hAnsi="宋体" w:eastAsia="宋体" w:cs="宋体"/>
          <w:sz w:val="21"/>
          <w:szCs w:val="21"/>
        </w:rPr>
        <w:t>履约评价表由招标人每个月付款前进行考评。如履约评价表扣分高于（或等于）20分的，甲方将扣除当月对货款费的5%作为罚款；如履约评价表扣分高于（或等于）40分的，甲方将扣除当月对服务费的10%作为罚款。</w:t>
      </w:r>
    </w:p>
    <w:p w14:paraId="75EC41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HAnsi" w:hAnsiTheme="minorHAnsi" w:eastAsiaTheme="minorEastAsia" w:cstheme="minorBidi"/>
          <w:b/>
          <w:sz w:val="28"/>
          <w:szCs w:val="28"/>
        </w:rPr>
      </w:pPr>
      <w:r>
        <w:rPr>
          <w:rFonts w:hint="eastAsia" w:asciiTheme="minorHAnsi" w:hAnsiTheme="minorHAnsi" w:eastAsiaTheme="minorEastAsia" w:cstheme="minorBidi"/>
          <w:b/>
          <w:sz w:val="28"/>
          <w:szCs w:val="28"/>
          <w:lang w:val="en-US" w:eastAsia="zh-CN"/>
        </w:rPr>
        <w:t>五</w:t>
      </w:r>
      <w:r>
        <w:rPr>
          <w:rFonts w:hint="eastAsia" w:asciiTheme="minorHAnsi" w:hAnsiTheme="minorHAnsi" w:eastAsiaTheme="minorEastAsia" w:cstheme="minorBidi"/>
          <w:b/>
          <w:sz w:val="28"/>
          <w:szCs w:val="28"/>
        </w:rPr>
        <w:t>、其他要求</w:t>
      </w:r>
    </w:p>
    <w:p w14:paraId="3CBF6C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cs="仿宋" w:asciiTheme="minorEastAsia" w:hAnsiTheme="minorEastAsia" w:eastAsiaTheme="minorEastAsia"/>
        </w:rPr>
      </w:pPr>
      <w:r>
        <w:rPr>
          <w:rFonts w:hint="eastAsia" w:ascii="宋体" w:hAnsi="宋体" w:cs="宋体"/>
          <w:b/>
          <w:bCs/>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2225AFE7">
      <w:pPr>
        <w:spacing w:line="360" w:lineRule="auto"/>
        <w:rPr>
          <w:rFonts w:cs="仿宋" w:asciiTheme="minorEastAsia" w:hAnsiTheme="minorEastAsia" w:eastAsiaTheme="minorEastAsia"/>
        </w:rPr>
      </w:pPr>
    </w:p>
    <w:p w14:paraId="0C4F68FE">
      <w:pPr>
        <w:pStyle w:val="2"/>
      </w:pPr>
    </w:p>
    <w:p w14:paraId="13EBAAC6">
      <w:pPr>
        <w:rPr>
          <w:rFonts w:cs="仿宋" w:asciiTheme="minorEastAsia" w:hAnsiTheme="minorEastAsia" w:eastAsiaTheme="minorEastAsia"/>
        </w:rPr>
      </w:pPr>
      <w:r>
        <w:rPr>
          <w:rFonts w:cs="仿宋" w:asciiTheme="minorEastAsia" w:hAnsiTheme="minorEastAsia" w:eastAsiaTheme="minorEastAsia"/>
        </w:rPr>
        <w:br w:type="page"/>
      </w:r>
    </w:p>
    <w:p w14:paraId="46E740B4">
      <w:pPr>
        <w:pStyle w:val="2"/>
      </w:pPr>
    </w:p>
    <w:p w14:paraId="4FAA3D84">
      <w:pPr>
        <w:rPr>
          <w:rFonts w:cs="仿宋" w:asciiTheme="minorEastAsia" w:hAnsiTheme="minorEastAsia" w:eastAsiaTheme="minorEastAsia"/>
        </w:rPr>
      </w:pPr>
    </w:p>
    <w:p w14:paraId="6222CCAC">
      <w:pPr>
        <w:rPr>
          <w:rFonts w:cs="仿宋" w:asciiTheme="minorEastAsia" w:hAnsiTheme="minorEastAsia" w:eastAsiaTheme="minorEastAsia"/>
        </w:rPr>
      </w:pPr>
    </w:p>
    <w:p w14:paraId="0E470533">
      <w:pPr>
        <w:rPr>
          <w:rFonts w:cs="仿宋" w:asciiTheme="minorEastAsia" w:hAnsiTheme="minorEastAsia" w:eastAsiaTheme="minorEastAsia"/>
        </w:rPr>
      </w:pPr>
    </w:p>
    <w:p w14:paraId="395068F1">
      <w:pPr>
        <w:rPr>
          <w:rFonts w:cs="仿宋" w:asciiTheme="minorEastAsia" w:hAnsiTheme="minorEastAsia" w:eastAsiaTheme="minorEastAsia"/>
        </w:rPr>
      </w:pPr>
    </w:p>
    <w:p w14:paraId="479383A7">
      <w:pPr>
        <w:rPr>
          <w:rFonts w:cs="仿宋" w:asciiTheme="minorEastAsia" w:hAnsiTheme="minorEastAsia" w:eastAsiaTheme="minorEastAsia"/>
        </w:rPr>
      </w:pPr>
    </w:p>
    <w:p w14:paraId="39506A7F">
      <w:pPr>
        <w:rPr>
          <w:rFonts w:cs="仿宋" w:asciiTheme="minorEastAsia" w:hAnsiTheme="minorEastAsia" w:eastAsiaTheme="minorEastAsia"/>
        </w:rPr>
      </w:pPr>
    </w:p>
    <w:p w14:paraId="53CF5A34">
      <w:pPr>
        <w:rPr>
          <w:rFonts w:cs="仿宋" w:asciiTheme="minorEastAsia" w:hAnsiTheme="minorEastAsia" w:eastAsiaTheme="minorEastAsia"/>
        </w:rPr>
      </w:pPr>
    </w:p>
    <w:p w14:paraId="3239AC6A">
      <w:pPr>
        <w:rPr>
          <w:rFonts w:cs="仿宋" w:asciiTheme="minorEastAsia" w:hAnsiTheme="minorEastAsia" w:eastAsiaTheme="minorEastAsia"/>
        </w:rPr>
      </w:pPr>
    </w:p>
    <w:p w14:paraId="23CB7498">
      <w:pPr>
        <w:rPr>
          <w:rFonts w:cs="仿宋" w:asciiTheme="minorEastAsia" w:hAnsiTheme="minorEastAsia" w:eastAsiaTheme="minorEastAsia"/>
        </w:rPr>
      </w:pPr>
    </w:p>
    <w:p w14:paraId="70612AAB">
      <w:pPr>
        <w:rPr>
          <w:rFonts w:cs="仿宋" w:asciiTheme="minorEastAsia" w:hAnsiTheme="minorEastAsia" w:eastAsiaTheme="minorEastAsia"/>
        </w:rPr>
      </w:pPr>
    </w:p>
    <w:p w14:paraId="0E048BE8">
      <w:pPr>
        <w:adjustRightInd w:val="0"/>
        <w:snapToGrid w:val="0"/>
        <w:spacing w:line="300" w:lineRule="auto"/>
        <w:jc w:val="center"/>
        <w:rPr>
          <w:rFonts w:cs="仿宋" w:asciiTheme="minorEastAsia" w:hAnsiTheme="minorEastAsia" w:eastAsiaTheme="minorEastAsia"/>
          <w:b/>
          <w:snapToGrid w:val="0"/>
          <w:kern w:val="0"/>
          <w:sz w:val="56"/>
          <w:szCs w:val="96"/>
        </w:rPr>
      </w:pPr>
    </w:p>
    <w:p w14:paraId="2DBA6931">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624FD36E">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14:paraId="422251DC">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14:paraId="09E4734F">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14:paraId="5BD51636">
      <w:pPr>
        <w:widowControl/>
        <w:jc w:val="left"/>
        <w:rPr>
          <w:rFonts w:cs="仿宋" w:asciiTheme="minorEastAsia" w:hAnsiTheme="minorEastAsia" w:eastAsiaTheme="minorEastAsia"/>
        </w:rPr>
      </w:pPr>
    </w:p>
    <w:p w14:paraId="4C5CFD89">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p w14:paraId="0839A717">
      <w:pPr>
        <w:rPr>
          <w:rFonts w:cs="仿宋" w:asciiTheme="minorEastAsia" w:hAnsiTheme="minorEastAsia" w:eastAsiaTheme="minorEastAsia"/>
        </w:rPr>
      </w:pPr>
    </w:p>
    <w:tbl>
      <w:tblPr>
        <w:tblStyle w:val="23"/>
        <w:tblW w:w="8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9"/>
      </w:tblGrid>
      <w:tr w14:paraId="7424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13E6F07F">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14:paraId="4A9C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14C132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14:paraId="6B70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F1CAC65">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14:paraId="62C2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11F68C98">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14:paraId="11A7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A0CD56D">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14:paraId="4B2D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4C237AFD">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14:paraId="2AA7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13E081E4">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14:paraId="1B2474B4">
            <w:pPr>
              <w:widowControl/>
              <w:spacing w:line="360" w:lineRule="auto"/>
              <w:rPr>
                <w:rFonts w:cs="仿宋" w:asciiTheme="minorEastAsia" w:hAnsiTheme="minorEastAsia" w:eastAsiaTheme="minorEastAsia"/>
                <w:b/>
                <w:color w:val="FF0000"/>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14:paraId="26A0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A7D6FD6">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14:paraId="682F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3C02589">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14:paraId="49F1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1DACB36">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十、差异表（格式7）</w:t>
            </w:r>
          </w:p>
        </w:tc>
      </w:tr>
      <w:tr w14:paraId="68DB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8B44439">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十一、其他征集文件要求的资料或投标供应商认为需要补充的资料（格式8）</w:t>
            </w:r>
          </w:p>
        </w:tc>
      </w:tr>
    </w:tbl>
    <w:p w14:paraId="3EC5608D">
      <w:pPr>
        <w:rPr>
          <w:rFonts w:cs="仿宋" w:asciiTheme="minorEastAsia" w:hAnsiTheme="minorEastAsia" w:eastAsiaTheme="minorEastAsia"/>
        </w:rPr>
      </w:pPr>
    </w:p>
    <w:p w14:paraId="3B6413A8">
      <w:pPr>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814A5A5">
      <w:pPr>
        <w:rPr>
          <w:rFonts w:cs="仿宋" w:asciiTheme="minorEastAsia" w:hAnsiTheme="minorEastAsia" w:eastAsiaTheme="minorEastAsia"/>
        </w:rPr>
      </w:pPr>
    </w:p>
    <w:p w14:paraId="77126CE4">
      <w:pPr>
        <w:rPr>
          <w:rFonts w:cs="仿宋" w:asciiTheme="minorEastAsia" w:hAnsiTheme="minorEastAsia" w:eastAsiaTheme="minorEastAsia"/>
        </w:rPr>
      </w:pPr>
    </w:p>
    <w:p w14:paraId="4C0CE5E8">
      <w:pPr>
        <w:rPr>
          <w:rFonts w:cs="仿宋" w:asciiTheme="minorEastAsia" w:hAnsiTheme="minorEastAsia" w:eastAsiaTheme="minorEastAsia"/>
        </w:rPr>
      </w:pPr>
    </w:p>
    <w:p w14:paraId="5CA8E073">
      <w:pPr>
        <w:rPr>
          <w:rFonts w:cs="仿宋" w:asciiTheme="minorEastAsia" w:hAnsiTheme="minorEastAsia" w:eastAsiaTheme="minorEastAsia"/>
        </w:rPr>
      </w:pPr>
    </w:p>
    <w:p w14:paraId="715A5C96">
      <w:pPr>
        <w:rPr>
          <w:rFonts w:cs="仿宋" w:asciiTheme="minorEastAsia" w:hAnsiTheme="minorEastAsia" w:eastAsiaTheme="minorEastAsia"/>
        </w:rPr>
      </w:pPr>
    </w:p>
    <w:p w14:paraId="661E5A76">
      <w:pPr>
        <w:rPr>
          <w:rFonts w:cs="仿宋" w:asciiTheme="minorEastAsia" w:hAnsiTheme="minorEastAsia" w:eastAsiaTheme="minorEastAsia"/>
        </w:rPr>
      </w:pPr>
    </w:p>
    <w:p w14:paraId="14E6F1EF">
      <w:pPr>
        <w:rPr>
          <w:rFonts w:cs="仿宋" w:asciiTheme="minorEastAsia" w:hAnsiTheme="minorEastAsia" w:eastAsiaTheme="minorEastAsia"/>
        </w:rPr>
      </w:pPr>
    </w:p>
    <w:p w14:paraId="452913C9">
      <w:pPr>
        <w:rPr>
          <w:rFonts w:cs="仿宋" w:asciiTheme="minorEastAsia" w:hAnsiTheme="minorEastAsia" w:eastAsiaTheme="minorEastAsia"/>
        </w:rPr>
      </w:pPr>
    </w:p>
    <w:p w14:paraId="5FFFDCFF">
      <w:pPr>
        <w:rPr>
          <w:rFonts w:cs="仿宋" w:asciiTheme="minorEastAsia" w:hAnsiTheme="minorEastAsia" w:eastAsiaTheme="minorEastAsia"/>
        </w:rPr>
      </w:pPr>
    </w:p>
    <w:p w14:paraId="32FC6276">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14:paraId="5C3D3480">
      <w:pPr>
        <w:rPr>
          <w:rFonts w:cs="仿宋" w:asciiTheme="minorEastAsia" w:hAnsiTheme="minorEastAsia" w:eastAsiaTheme="minorEastAsia"/>
        </w:rPr>
      </w:pPr>
    </w:p>
    <w:p w14:paraId="478B9489">
      <w:pPr>
        <w:rPr>
          <w:rFonts w:cs="仿宋" w:asciiTheme="minorEastAsia" w:hAnsiTheme="minorEastAsia" w:eastAsiaTheme="minorEastAsia"/>
        </w:rPr>
      </w:pPr>
    </w:p>
    <w:p w14:paraId="4B263C19">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14:paraId="729B5717">
      <w:pPr>
        <w:rPr>
          <w:rFonts w:cs="仿宋" w:asciiTheme="minorEastAsia" w:hAnsiTheme="minorEastAsia" w:eastAsiaTheme="minorEastAsia"/>
        </w:rPr>
      </w:pPr>
    </w:p>
    <w:p w14:paraId="7A6ED28D">
      <w:pPr>
        <w:rPr>
          <w:rFonts w:cs="仿宋" w:asciiTheme="minorEastAsia" w:hAnsiTheme="minorEastAsia" w:eastAsiaTheme="minorEastAsia"/>
        </w:rPr>
      </w:pPr>
    </w:p>
    <w:p w14:paraId="59CBDE43">
      <w:pPr>
        <w:rPr>
          <w:rFonts w:cs="仿宋" w:asciiTheme="minorEastAsia" w:hAnsiTheme="minorEastAsia" w:eastAsiaTheme="minorEastAsia"/>
        </w:rPr>
      </w:pPr>
    </w:p>
    <w:p w14:paraId="4F4A4EE1">
      <w:pPr>
        <w:rPr>
          <w:rFonts w:cs="仿宋" w:asciiTheme="minorEastAsia" w:hAnsiTheme="minorEastAsia" w:eastAsiaTheme="minorEastAsia"/>
        </w:rPr>
      </w:pPr>
    </w:p>
    <w:p w14:paraId="1E8A215A">
      <w:pPr>
        <w:rPr>
          <w:rFonts w:cs="仿宋" w:asciiTheme="minorEastAsia" w:hAnsiTheme="minorEastAsia" w:eastAsiaTheme="minorEastAsia"/>
        </w:rPr>
      </w:pPr>
    </w:p>
    <w:p w14:paraId="122D7E10">
      <w:pPr>
        <w:rPr>
          <w:rFonts w:cs="仿宋" w:asciiTheme="minorEastAsia" w:hAnsiTheme="minorEastAsia" w:eastAsiaTheme="minorEastAsia"/>
        </w:rPr>
      </w:pPr>
    </w:p>
    <w:p w14:paraId="21F8F2B4">
      <w:pPr>
        <w:rPr>
          <w:rFonts w:cs="仿宋" w:asciiTheme="minorEastAsia" w:hAnsiTheme="minorEastAsia" w:eastAsiaTheme="minorEastAsia"/>
        </w:rPr>
      </w:pPr>
    </w:p>
    <w:p w14:paraId="5A3A7A50">
      <w:pPr>
        <w:rPr>
          <w:rFonts w:cs="仿宋" w:asciiTheme="minorEastAsia" w:hAnsiTheme="minorEastAsia" w:eastAsiaTheme="minorEastAsia"/>
        </w:rPr>
      </w:pPr>
    </w:p>
    <w:p w14:paraId="5D5EB3E2">
      <w:pPr>
        <w:rPr>
          <w:rFonts w:cs="仿宋" w:asciiTheme="minorEastAsia" w:hAnsiTheme="minorEastAsia" w:eastAsiaTheme="minorEastAsia"/>
        </w:rPr>
      </w:pPr>
    </w:p>
    <w:p w14:paraId="42D03279">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项目名称：</w:t>
      </w:r>
      <w:r>
        <w:rPr>
          <w:rFonts w:hint="eastAsia" w:ascii="Times New Roman" w:hAnsi="Times New Roman"/>
          <w:b/>
          <w:bCs/>
          <w:sz w:val="24"/>
          <w:szCs w:val="24"/>
          <w:u w:val="single"/>
        </w:rPr>
        <w:t xml:space="preserve">                                      </w:t>
      </w:r>
    </w:p>
    <w:p w14:paraId="709BBCBD">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项目编号：</w:t>
      </w:r>
      <w:r>
        <w:rPr>
          <w:rFonts w:hint="eastAsia" w:ascii="Times New Roman" w:hAnsi="Times New Roman"/>
          <w:b/>
          <w:bCs/>
          <w:sz w:val="24"/>
          <w:szCs w:val="24"/>
          <w:u w:val="single"/>
        </w:rPr>
        <w:t xml:space="preserve">                                      </w:t>
      </w:r>
    </w:p>
    <w:p w14:paraId="75208C1A">
      <w:pPr>
        <w:spacing w:line="480" w:lineRule="auto"/>
        <w:ind w:firstLine="993" w:firstLineChars="412"/>
        <w:rPr>
          <w:rFonts w:ascii="Times New Roman" w:hAnsi="Times New Roman"/>
          <w:b/>
          <w:bCs/>
          <w:sz w:val="24"/>
          <w:szCs w:val="24"/>
        </w:rPr>
      </w:pPr>
      <w:r>
        <w:rPr>
          <w:rFonts w:hint="eastAsia" w:ascii="Times New Roman" w:hAnsi="Times New Roman"/>
          <w:b/>
          <w:bCs/>
          <w:sz w:val="24"/>
          <w:szCs w:val="24"/>
        </w:rPr>
        <w:t>法定代表人或</w:t>
      </w:r>
    </w:p>
    <w:p w14:paraId="03D70970">
      <w:pPr>
        <w:spacing w:line="480" w:lineRule="auto"/>
        <w:ind w:firstLine="993" w:firstLineChars="412"/>
        <w:rPr>
          <w:rFonts w:ascii="Times New Roman" w:hAnsi="Times New Roman"/>
          <w:sz w:val="24"/>
          <w:szCs w:val="24"/>
          <w:u w:val="dotted"/>
        </w:rPr>
      </w:pPr>
      <w:r>
        <w:rPr>
          <w:rFonts w:hint="eastAsia" w:ascii="Times New Roman" w:hAnsi="Times New Roman"/>
          <w:b/>
          <w:bCs/>
          <w:sz w:val="24"/>
          <w:szCs w:val="24"/>
        </w:rPr>
        <w:t>委托代理人：</w:t>
      </w:r>
      <w:r>
        <w:rPr>
          <w:rFonts w:hint="eastAsia" w:ascii="Times New Roman" w:hAnsi="Times New Roman"/>
          <w:b/>
          <w:sz w:val="24"/>
          <w:szCs w:val="24"/>
          <w:u w:val="single"/>
        </w:rPr>
        <w:t xml:space="preserve">                                      </w:t>
      </w:r>
    </w:p>
    <w:p w14:paraId="494836CF">
      <w:pPr>
        <w:spacing w:line="480" w:lineRule="auto"/>
        <w:ind w:firstLine="993" w:firstLineChars="412"/>
        <w:rPr>
          <w:rFonts w:ascii="Times New Roman" w:hAnsi="Times New Roman"/>
          <w:b/>
          <w:bCs/>
          <w:sz w:val="24"/>
          <w:szCs w:val="24"/>
          <w:u w:val="dotted"/>
        </w:rPr>
      </w:pPr>
      <w:r>
        <w:rPr>
          <w:rFonts w:hint="eastAsia" w:ascii="Times New Roman" w:hAnsi="Times New Roman"/>
          <w:b/>
          <w:bCs/>
          <w:sz w:val="24"/>
          <w:szCs w:val="24"/>
        </w:rPr>
        <w:t>投标供应商：</w:t>
      </w:r>
      <w:r>
        <w:rPr>
          <w:rFonts w:hint="eastAsia" w:ascii="Times New Roman" w:hAnsi="Times New Roman"/>
          <w:b/>
          <w:bCs/>
          <w:sz w:val="24"/>
          <w:szCs w:val="24"/>
          <w:u w:val="single"/>
        </w:rPr>
        <w:t xml:space="preserve">                                      </w:t>
      </w:r>
    </w:p>
    <w:p w14:paraId="3B158A81">
      <w:pPr>
        <w:spacing w:line="480" w:lineRule="auto"/>
        <w:ind w:firstLine="993" w:firstLineChars="412"/>
        <w:rPr>
          <w:rFonts w:ascii="Times New Roman" w:hAnsi="Times New Roman"/>
          <w:szCs w:val="24"/>
        </w:rPr>
      </w:pPr>
      <w:r>
        <w:rPr>
          <w:rFonts w:hint="eastAsia" w:ascii="Times New Roman" w:hAnsi="Times New Roman"/>
          <w:b/>
          <w:bCs/>
          <w:sz w:val="24"/>
          <w:szCs w:val="24"/>
        </w:rPr>
        <w:t>日       期：</w:t>
      </w:r>
      <w:r>
        <w:rPr>
          <w:rFonts w:hint="eastAsia" w:ascii="Times New Roman" w:hAnsi="Times New Roman"/>
          <w:sz w:val="24"/>
          <w:szCs w:val="24"/>
          <w:u w:val="single"/>
        </w:rPr>
        <w:t xml:space="preserve">              </w:t>
      </w:r>
      <w:r>
        <w:rPr>
          <w:rFonts w:hint="eastAsia" w:ascii="Times New Roman" w:hAnsi="Times New Roman"/>
          <w:b/>
          <w:bCs/>
          <w:sz w:val="24"/>
          <w:szCs w:val="24"/>
        </w:rPr>
        <w:t>年</w:t>
      </w:r>
      <w:r>
        <w:rPr>
          <w:rFonts w:hint="eastAsia" w:ascii="Times New Roman" w:hAnsi="Times New Roman"/>
          <w:sz w:val="24"/>
          <w:szCs w:val="24"/>
          <w:u w:val="single"/>
        </w:rPr>
        <w:t xml:space="preserve">         </w:t>
      </w:r>
      <w:r>
        <w:rPr>
          <w:rFonts w:hint="eastAsia" w:ascii="Times New Roman" w:hAnsi="Times New Roman"/>
          <w:b/>
          <w:bCs/>
          <w:sz w:val="24"/>
          <w:szCs w:val="24"/>
        </w:rPr>
        <w:t>月</w:t>
      </w:r>
      <w:r>
        <w:rPr>
          <w:rFonts w:hint="eastAsia" w:ascii="Times New Roman" w:hAnsi="Times New Roman"/>
          <w:sz w:val="24"/>
          <w:szCs w:val="24"/>
          <w:u w:val="single"/>
        </w:rPr>
        <w:t xml:space="preserve">         </w:t>
      </w:r>
      <w:r>
        <w:rPr>
          <w:rFonts w:hint="eastAsia" w:ascii="Times New Roman" w:hAnsi="Times New Roman"/>
          <w:b/>
          <w:bCs/>
          <w:sz w:val="24"/>
          <w:szCs w:val="24"/>
        </w:rPr>
        <w:t>日</w:t>
      </w:r>
    </w:p>
    <w:p w14:paraId="4FDF1C37">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2F5A8D60">
      <w:pPr>
        <w:keepNext/>
        <w:keepLines/>
        <w:spacing w:before="260" w:after="260" w:line="400" w:lineRule="exact"/>
        <w:jc w:val="center"/>
        <w:outlineLvl w:val="1"/>
        <w:rPr>
          <w:rFonts w:asciiTheme="minorEastAsia" w:hAnsiTheme="minorEastAsia" w:eastAsiaTheme="minorEastAsia"/>
          <w:b/>
          <w:bCs/>
          <w:sz w:val="28"/>
          <w:szCs w:val="32"/>
        </w:rPr>
      </w:pPr>
      <w:bookmarkStart w:id="4" w:name="_Toc110410380"/>
      <w:r>
        <w:rPr>
          <w:rFonts w:hint="eastAsia" w:asciiTheme="minorEastAsia" w:hAnsiTheme="minorEastAsia" w:eastAsiaTheme="minorEastAsia"/>
          <w:b/>
          <w:bCs/>
          <w:sz w:val="28"/>
          <w:szCs w:val="32"/>
        </w:rPr>
        <w:t>政府采购违法行为风险知悉确认书</w:t>
      </w:r>
      <w:bookmarkEnd w:id="4"/>
    </w:p>
    <w:p w14:paraId="7ACBC8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14:paraId="6B4C4CEE">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14:paraId="475EC57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06B0607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5B9A6B4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547CF47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7809043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346A2969">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14:paraId="53426A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14:paraId="33F9A30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14:paraId="0681839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14:paraId="560BBF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14:paraId="59DE8F6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14:paraId="2A780D0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14:paraId="543F3F9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（七）不同投标供应商的投标报价呈规律性差异。</w:t>
      </w:r>
    </w:p>
    <w:p w14:paraId="3958CEC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（八）不同投标供应商的投标保证金从同一单位或者个人的账户转出。</w:t>
      </w:r>
    </w:p>
    <w:p w14:paraId="53AF001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14:paraId="3514CA95">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14:paraId="07AEEDD8">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14:paraId="54B49ED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A8B96B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14:paraId="6E74AF5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BCDBA7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D93E0F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FBD92E0">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080984">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14:paraId="2D6009D8">
      <w:pPr>
        <w:spacing w:line="360" w:lineRule="auto"/>
        <w:ind w:firstLine="420" w:firstLineChars="200"/>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115807F6">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608E8FF2">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10862A8A">
      <w:pPr>
        <w:spacing w:line="360" w:lineRule="auto"/>
        <w:ind w:firstLine="420" w:firstLineChars="200"/>
        <w:rPr>
          <w:rFonts w:asciiTheme="minorEastAsia" w:hAnsiTheme="minorEastAsia" w:eastAsiaTheme="minorEastAsia"/>
          <w:szCs w:val="21"/>
          <w:u w:val="single"/>
        </w:rPr>
      </w:pPr>
    </w:p>
    <w:p w14:paraId="0637D72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14:paraId="28F4CA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14:paraId="65030A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14:paraId="2D92B8CF">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14:paraId="0A71621A">
      <w:pPr>
        <w:ind w:left="424" w:leftChars="202" w:firstLine="424" w:firstLineChars="202"/>
        <w:rPr>
          <w:rFonts w:cs="仿宋" w:asciiTheme="minorEastAsia" w:hAnsiTheme="minorEastAsia" w:eastAsiaTheme="minorEastAsia"/>
        </w:rPr>
      </w:pPr>
    </w:p>
    <w:p w14:paraId="2EE02321">
      <w:pPr>
        <w:tabs>
          <w:tab w:val="left" w:pos="8306"/>
        </w:tabs>
        <w:spacing w:line="360" w:lineRule="auto"/>
        <w:ind w:right="-57" w:rightChars="-27" w:firstLine="425"/>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14:paraId="43944E3A">
      <w:pPr>
        <w:tabs>
          <w:tab w:val="center" w:pos="4153"/>
          <w:tab w:val="right" w:pos="8306"/>
        </w:tabs>
        <w:snapToGrid w:val="0"/>
        <w:jc w:val="left"/>
        <w:rPr>
          <w:sz w:val="18"/>
          <w:szCs w:val="18"/>
        </w:rPr>
      </w:pPr>
    </w:p>
    <w:tbl>
      <w:tblPr>
        <w:tblStyle w:val="22"/>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14:paraId="17F8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52A42A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14:paraId="6488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F2E4CE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39DC94FC">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14:paraId="1A1064EA">
            <w:pPr>
              <w:spacing w:line="360" w:lineRule="exact"/>
              <w:jc w:val="center"/>
              <w:rPr>
                <w:rFonts w:ascii="宋体" w:hAnsi="宋体"/>
                <w:szCs w:val="21"/>
              </w:rPr>
            </w:pPr>
            <w:r>
              <w:rPr>
                <w:rFonts w:hint="eastAsia" w:ascii="宋体" w:hAnsi="宋体"/>
                <w:szCs w:val="21"/>
              </w:rPr>
              <w:t>证明文件起止页码</w:t>
            </w:r>
          </w:p>
        </w:tc>
        <w:tc>
          <w:tcPr>
            <w:tcW w:w="1134" w:type="dxa"/>
            <w:vAlign w:val="center"/>
          </w:tcPr>
          <w:p w14:paraId="74E03C28">
            <w:pPr>
              <w:spacing w:line="360" w:lineRule="exact"/>
              <w:jc w:val="center"/>
              <w:rPr>
                <w:rFonts w:ascii="宋体" w:hAnsi="宋体"/>
                <w:szCs w:val="21"/>
              </w:rPr>
            </w:pPr>
            <w:r>
              <w:rPr>
                <w:rFonts w:hint="eastAsia" w:ascii="宋体" w:hAnsi="宋体"/>
                <w:szCs w:val="21"/>
              </w:rPr>
              <w:t>备注</w:t>
            </w:r>
          </w:p>
        </w:tc>
      </w:tr>
      <w:tr w14:paraId="3C30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27F771C4">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1C59F02">
            <w:pPr>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14:paraId="7DE1A3EA">
            <w:pPr>
              <w:spacing w:line="360" w:lineRule="exact"/>
              <w:jc w:val="center"/>
              <w:rPr>
                <w:rFonts w:ascii="宋体" w:hAnsi="宋体"/>
                <w:b/>
                <w:szCs w:val="21"/>
              </w:rPr>
            </w:pPr>
          </w:p>
        </w:tc>
        <w:tc>
          <w:tcPr>
            <w:tcW w:w="1134" w:type="dxa"/>
            <w:vAlign w:val="center"/>
          </w:tcPr>
          <w:p w14:paraId="440FD242">
            <w:pPr>
              <w:spacing w:line="360" w:lineRule="exact"/>
              <w:jc w:val="center"/>
              <w:rPr>
                <w:rFonts w:ascii="宋体" w:hAnsi="宋体"/>
                <w:b/>
                <w:szCs w:val="21"/>
              </w:rPr>
            </w:pPr>
          </w:p>
        </w:tc>
      </w:tr>
      <w:tr w14:paraId="1EEE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1919CB7C">
            <w:pPr>
              <w:spacing w:line="360" w:lineRule="exact"/>
              <w:jc w:val="center"/>
              <w:rPr>
                <w:rFonts w:ascii="宋体" w:hAnsi="宋体"/>
                <w:szCs w:val="21"/>
              </w:rPr>
            </w:pPr>
            <w:r>
              <w:rPr>
                <w:rFonts w:hint="eastAsia" w:ascii="宋体" w:hAnsi="宋体"/>
                <w:szCs w:val="21"/>
              </w:rPr>
              <w:t>技术部分</w:t>
            </w:r>
          </w:p>
        </w:tc>
        <w:tc>
          <w:tcPr>
            <w:tcW w:w="4854" w:type="dxa"/>
          </w:tcPr>
          <w:p w14:paraId="2B506AF6">
            <w:pPr>
              <w:spacing w:line="360" w:lineRule="exact"/>
              <w:jc w:val="center"/>
              <w:rPr>
                <w:rFonts w:ascii="宋体" w:hAnsi="宋体"/>
                <w:szCs w:val="21"/>
              </w:rPr>
            </w:pPr>
            <w:r>
              <w:rPr>
                <w:rFonts w:hint="eastAsia" w:ascii="宋体" w:hAnsi="宋体"/>
                <w:szCs w:val="21"/>
              </w:rPr>
              <w:t>1.……</w:t>
            </w:r>
          </w:p>
        </w:tc>
        <w:tc>
          <w:tcPr>
            <w:tcW w:w="1516" w:type="dxa"/>
            <w:vAlign w:val="center"/>
          </w:tcPr>
          <w:p w14:paraId="36CBB083">
            <w:pPr>
              <w:spacing w:line="360" w:lineRule="exact"/>
              <w:jc w:val="center"/>
              <w:rPr>
                <w:rFonts w:ascii="宋体" w:hAnsi="宋体"/>
                <w:b/>
                <w:szCs w:val="21"/>
              </w:rPr>
            </w:pPr>
          </w:p>
        </w:tc>
        <w:tc>
          <w:tcPr>
            <w:tcW w:w="1134" w:type="dxa"/>
            <w:vAlign w:val="center"/>
          </w:tcPr>
          <w:p w14:paraId="3B782319">
            <w:pPr>
              <w:spacing w:line="360" w:lineRule="exact"/>
              <w:jc w:val="center"/>
              <w:rPr>
                <w:rFonts w:ascii="宋体" w:hAnsi="宋体"/>
                <w:b/>
                <w:szCs w:val="21"/>
              </w:rPr>
            </w:pPr>
          </w:p>
        </w:tc>
      </w:tr>
      <w:tr w14:paraId="7E7A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E079A5E">
            <w:pPr>
              <w:spacing w:line="360" w:lineRule="exact"/>
              <w:jc w:val="center"/>
              <w:rPr>
                <w:rFonts w:ascii="宋体" w:hAnsi="宋体"/>
                <w:szCs w:val="21"/>
              </w:rPr>
            </w:pPr>
          </w:p>
        </w:tc>
        <w:tc>
          <w:tcPr>
            <w:tcW w:w="4854" w:type="dxa"/>
          </w:tcPr>
          <w:p w14:paraId="587CC939">
            <w:pPr>
              <w:spacing w:line="360" w:lineRule="exact"/>
              <w:jc w:val="center"/>
              <w:rPr>
                <w:rFonts w:ascii="宋体" w:hAnsi="宋体"/>
                <w:szCs w:val="21"/>
              </w:rPr>
            </w:pPr>
            <w:r>
              <w:rPr>
                <w:rFonts w:hint="eastAsia" w:ascii="宋体" w:hAnsi="宋体"/>
                <w:szCs w:val="21"/>
              </w:rPr>
              <w:t>2.……</w:t>
            </w:r>
          </w:p>
        </w:tc>
        <w:tc>
          <w:tcPr>
            <w:tcW w:w="1516" w:type="dxa"/>
            <w:vAlign w:val="center"/>
          </w:tcPr>
          <w:p w14:paraId="5A6F6C5A">
            <w:pPr>
              <w:spacing w:line="360" w:lineRule="exact"/>
              <w:jc w:val="center"/>
              <w:rPr>
                <w:rFonts w:ascii="宋体" w:hAnsi="宋体"/>
                <w:b/>
                <w:szCs w:val="21"/>
              </w:rPr>
            </w:pPr>
          </w:p>
        </w:tc>
        <w:tc>
          <w:tcPr>
            <w:tcW w:w="1134" w:type="dxa"/>
            <w:vAlign w:val="center"/>
          </w:tcPr>
          <w:p w14:paraId="479D9F2E">
            <w:pPr>
              <w:spacing w:line="360" w:lineRule="exact"/>
              <w:jc w:val="center"/>
              <w:rPr>
                <w:rFonts w:ascii="宋体" w:hAnsi="宋体"/>
                <w:b/>
                <w:szCs w:val="21"/>
              </w:rPr>
            </w:pPr>
          </w:p>
        </w:tc>
      </w:tr>
      <w:tr w14:paraId="67D6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DDCF3C0">
            <w:pPr>
              <w:spacing w:line="360" w:lineRule="exact"/>
              <w:jc w:val="center"/>
              <w:rPr>
                <w:rFonts w:ascii="宋体" w:hAnsi="宋体"/>
                <w:szCs w:val="21"/>
              </w:rPr>
            </w:pPr>
          </w:p>
        </w:tc>
        <w:tc>
          <w:tcPr>
            <w:tcW w:w="4854" w:type="dxa"/>
          </w:tcPr>
          <w:p w14:paraId="43C20ACB">
            <w:pPr>
              <w:spacing w:line="360" w:lineRule="exact"/>
              <w:jc w:val="center"/>
              <w:rPr>
                <w:rFonts w:ascii="宋体" w:hAnsi="宋体"/>
                <w:szCs w:val="21"/>
              </w:rPr>
            </w:pPr>
            <w:r>
              <w:rPr>
                <w:rFonts w:hint="eastAsia" w:ascii="宋体" w:hAnsi="宋体"/>
                <w:szCs w:val="21"/>
              </w:rPr>
              <w:t>……</w:t>
            </w:r>
          </w:p>
        </w:tc>
        <w:tc>
          <w:tcPr>
            <w:tcW w:w="1516" w:type="dxa"/>
            <w:vAlign w:val="center"/>
          </w:tcPr>
          <w:p w14:paraId="3C750EFE">
            <w:pPr>
              <w:spacing w:line="360" w:lineRule="exact"/>
              <w:jc w:val="center"/>
              <w:rPr>
                <w:rFonts w:ascii="宋体" w:hAnsi="宋体"/>
                <w:b/>
                <w:szCs w:val="21"/>
              </w:rPr>
            </w:pPr>
          </w:p>
        </w:tc>
        <w:tc>
          <w:tcPr>
            <w:tcW w:w="1134" w:type="dxa"/>
            <w:vAlign w:val="center"/>
          </w:tcPr>
          <w:p w14:paraId="29599F17">
            <w:pPr>
              <w:spacing w:line="360" w:lineRule="exact"/>
              <w:jc w:val="center"/>
              <w:rPr>
                <w:rFonts w:ascii="宋体" w:hAnsi="宋体"/>
                <w:b/>
                <w:szCs w:val="21"/>
              </w:rPr>
            </w:pPr>
          </w:p>
        </w:tc>
      </w:tr>
      <w:tr w14:paraId="7F28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C93F1BB">
            <w:pPr>
              <w:spacing w:line="360" w:lineRule="exact"/>
              <w:jc w:val="center"/>
              <w:rPr>
                <w:rFonts w:ascii="宋体" w:hAnsi="宋体"/>
                <w:szCs w:val="21"/>
              </w:rPr>
            </w:pPr>
            <w:r>
              <w:rPr>
                <w:rFonts w:hint="eastAsia" w:ascii="宋体" w:hAnsi="宋体"/>
                <w:szCs w:val="21"/>
              </w:rPr>
              <w:t>商务部分</w:t>
            </w:r>
          </w:p>
        </w:tc>
        <w:tc>
          <w:tcPr>
            <w:tcW w:w="4854" w:type="dxa"/>
          </w:tcPr>
          <w:p w14:paraId="6E1AEA9C">
            <w:pPr>
              <w:spacing w:line="360" w:lineRule="exact"/>
              <w:jc w:val="center"/>
              <w:rPr>
                <w:rFonts w:ascii="宋体" w:hAnsi="宋体"/>
                <w:szCs w:val="21"/>
              </w:rPr>
            </w:pPr>
            <w:r>
              <w:rPr>
                <w:rFonts w:hint="eastAsia" w:ascii="宋体" w:hAnsi="宋体"/>
                <w:szCs w:val="21"/>
              </w:rPr>
              <w:t>1.……</w:t>
            </w:r>
          </w:p>
        </w:tc>
        <w:tc>
          <w:tcPr>
            <w:tcW w:w="1516" w:type="dxa"/>
            <w:vAlign w:val="center"/>
          </w:tcPr>
          <w:p w14:paraId="49DB35B6">
            <w:pPr>
              <w:spacing w:line="360" w:lineRule="exact"/>
              <w:jc w:val="center"/>
              <w:rPr>
                <w:rFonts w:ascii="宋体" w:hAnsi="宋体"/>
                <w:b/>
                <w:szCs w:val="21"/>
              </w:rPr>
            </w:pPr>
          </w:p>
        </w:tc>
        <w:tc>
          <w:tcPr>
            <w:tcW w:w="1134" w:type="dxa"/>
            <w:vAlign w:val="center"/>
          </w:tcPr>
          <w:p w14:paraId="53CF2E6C">
            <w:pPr>
              <w:spacing w:line="360" w:lineRule="exact"/>
              <w:jc w:val="center"/>
              <w:rPr>
                <w:rFonts w:ascii="宋体" w:hAnsi="宋体"/>
                <w:b/>
                <w:szCs w:val="21"/>
              </w:rPr>
            </w:pPr>
          </w:p>
        </w:tc>
      </w:tr>
      <w:tr w14:paraId="6816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0A2CBF6">
            <w:pPr>
              <w:spacing w:line="360" w:lineRule="exact"/>
              <w:jc w:val="center"/>
              <w:rPr>
                <w:rFonts w:ascii="宋体" w:hAnsi="宋体"/>
                <w:szCs w:val="21"/>
              </w:rPr>
            </w:pPr>
          </w:p>
        </w:tc>
        <w:tc>
          <w:tcPr>
            <w:tcW w:w="4854" w:type="dxa"/>
          </w:tcPr>
          <w:p w14:paraId="1400A631">
            <w:pPr>
              <w:spacing w:line="360" w:lineRule="exact"/>
              <w:jc w:val="center"/>
              <w:rPr>
                <w:rFonts w:ascii="宋体" w:hAnsi="宋体"/>
                <w:szCs w:val="21"/>
              </w:rPr>
            </w:pPr>
            <w:r>
              <w:rPr>
                <w:rFonts w:hint="eastAsia" w:ascii="宋体" w:hAnsi="宋体"/>
                <w:szCs w:val="21"/>
              </w:rPr>
              <w:t>2.……</w:t>
            </w:r>
          </w:p>
        </w:tc>
        <w:tc>
          <w:tcPr>
            <w:tcW w:w="1516" w:type="dxa"/>
            <w:vAlign w:val="center"/>
          </w:tcPr>
          <w:p w14:paraId="184C66EE">
            <w:pPr>
              <w:spacing w:line="360" w:lineRule="exact"/>
              <w:jc w:val="center"/>
              <w:rPr>
                <w:rFonts w:ascii="宋体" w:hAnsi="宋体"/>
                <w:b/>
                <w:szCs w:val="21"/>
              </w:rPr>
            </w:pPr>
          </w:p>
        </w:tc>
        <w:tc>
          <w:tcPr>
            <w:tcW w:w="1134" w:type="dxa"/>
            <w:vAlign w:val="center"/>
          </w:tcPr>
          <w:p w14:paraId="7461B1BE">
            <w:pPr>
              <w:spacing w:line="360" w:lineRule="exact"/>
              <w:jc w:val="center"/>
              <w:rPr>
                <w:rFonts w:ascii="宋体" w:hAnsi="宋体"/>
                <w:b/>
                <w:szCs w:val="21"/>
              </w:rPr>
            </w:pPr>
          </w:p>
        </w:tc>
      </w:tr>
      <w:tr w14:paraId="3147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7B747F3">
            <w:pPr>
              <w:spacing w:line="360" w:lineRule="exact"/>
              <w:jc w:val="center"/>
              <w:rPr>
                <w:rFonts w:ascii="宋体" w:hAnsi="宋体"/>
                <w:szCs w:val="21"/>
              </w:rPr>
            </w:pPr>
          </w:p>
        </w:tc>
        <w:tc>
          <w:tcPr>
            <w:tcW w:w="4854" w:type="dxa"/>
          </w:tcPr>
          <w:p w14:paraId="3D2C27CC">
            <w:pPr>
              <w:spacing w:line="360" w:lineRule="exact"/>
              <w:jc w:val="center"/>
              <w:rPr>
                <w:rFonts w:ascii="宋体" w:hAnsi="宋体"/>
                <w:szCs w:val="21"/>
              </w:rPr>
            </w:pPr>
            <w:r>
              <w:rPr>
                <w:rFonts w:hint="eastAsia" w:ascii="宋体" w:hAnsi="宋体"/>
                <w:szCs w:val="21"/>
              </w:rPr>
              <w:t>……</w:t>
            </w:r>
          </w:p>
        </w:tc>
        <w:tc>
          <w:tcPr>
            <w:tcW w:w="1516" w:type="dxa"/>
            <w:vAlign w:val="center"/>
          </w:tcPr>
          <w:p w14:paraId="7BDB6985">
            <w:pPr>
              <w:spacing w:line="360" w:lineRule="exact"/>
              <w:jc w:val="center"/>
              <w:rPr>
                <w:rFonts w:ascii="宋体" w:hAnsi="宋体"/>
                <w:b/>
                <w:szCs w:val="21"/>
              </w:rPr>
            </w:pPr>
          </w:p>
        </w:tc>
        <w:tc>
          <w:tcPr>
            <w:tcW w:w="1134" w:type="dxa"/>
            <w:vAlign w:val="center"/>
          </w:tcPr>
          <w:p w14:paraId="50BC86EA">
            <w:pPr>
              <w:spacing w:line="360" w:lineRule="exact"/>
              <w:jc w:val="center"/>
              <w:rPr>
                <w:rFonts w:ascii="宋体" w:hAnsi="宋体"/>
                <w:b/>
                <w:szCs w:val="21"/>
              </w:rPr>
            </w:pPr>
          </w:p>
        </w:tc>
      </w:tr>
      <w:tr w14:paraId="7BD4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72403255">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二、其他评审指引</w:t>
            </w:r>
          </w:p>
        </w:tc>
      </w:tr>
      <w:tr w14:paraId="6AD8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57" w:type="dxa"/>
            <w:vAlign w:val="center"/>
          </w:tcPr>
          <w:p w14:paraId="2753DAE7">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39CF1F62">
            <w:pPr>
              <w:rPr>
                <w:rFonts w:asciiTheme="minorEastAsia" w:hAnsiTheme="minorEastAsia" w:eastAsiaTheme="minorEastAsia"/>
                <w:szCs w:val="24"/>
              </w:rPr>
            </w:pPr>
          </w:p>
        </w:tc>
        <w:tc>
          <w:tcPr>
            <w:tcW w:w="1516" w:type="dxa"/>
            <w:vAlign w:val="center"/>
          </w:tcPr>
          <w:p w14:paraId="5485DD8B">
            <w:pPr>
              <w:spacing w:line="360" w:lineRule="exact"/>
              <w:jc w:val="center"/>
              <w:rPr>
                <w:rFonts w:ascii="宋体" w:hAnsi="宋体"/>
                <w:b/>
                <w:szCs w:val="21"/>
              </w:rPr>
            </w:pPr>
          </w:p>
        </w:tc>
        <w:tc>
          <w:tcPr>
            <w:tcW w:w="1134" w:type="dxa"/>
            <w:vAlign w:val="center"/>
          </w:tcPr>
          <w:p w14:paraId="0AD8BA28">
            <w:pPr>
              <w:spacing w:line="360" w:lineRule="exact"/>
              <w:jc w:val="center"/>
              <w:rPr>
                <w:rFonts w:ascii="宋体" w:hAnsi="宋体"/>
                <w:b/>
                <w:szCs w:val="21"/>
              </w:rPr>
            </w:pPr>
          </w:p>
        </w:tc>
      </w:tr>
    </w:tbl>
    <w:p w14:paraId="1AC7254F">
      <w:pPr>
        <w:tabs>
          <w:tab w:val="center" w:pos="4153"/>
          <w:tab w:val="right" w:pos="8306"/>
        </w:tabs>
        <w:snapToGrid w:val="0"/>
        <w:jc w:val="left"/>
        <w:rPr>
          <w:sz w:val="18"/>
          <w:szCs w:val="18"/>
        </w:rPr>
      </w:pPr>
    </w:p>
    <w:p w14:paraId="10352197">
      <w:pPr>
        <w:ind w:left="424" w:leftChars="202" w:right="792" w:rightChars="377" w:firstLine="444" w:firstLineChars="202"/>
        <w:rPr>
          <w:rFonts w:cs="仿宋" w:asciiTheme="minorEastAsia" w:hAnsiTheme="minorEastAsia" w:eastAsiaTheme="minorEastAsia"/>
          <w:sz w:val="22"/>
        </w:rPr>
      </w:pPr>
    </w:p>
    <w:p w14:paraId="0CAB503E">
      <w:pPr>
        <w:spacing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注：请投标供应商按照征集文件规定的审查和评分内容，自上而下的顺序填写本表。因项目次序混乱而影响评标结果者，投标供应商自负其责。</w:t>
      </w:r>
    </w:p>
    <w:p w14:paraId="386CEE96">
      <w:pPr>
        <w:widowControl/>
        <w:jc w:val="left"/>
        <w:rPr>
          <w:rFonts w:cs="仿宋" w:asciiTheme="minorEastAsia" w:hAnsiTheme="minorEastAsia" w:eastAsiaTheme="minorEastAsia"/>
          <w:b/>
          <w:sz w:val="32"/>
          <w:szCs w:val="36"/>
        </w:rPr>
      </w:pPr>
      <w:r>
        <w:rPr>
          <w:rFonts w:cs="仿宋" w:asciiTheme="minorEastAsia" w:hAnsiTheme="minorEastAsia" w:eastAsiaTheme="minorEastAsia"/>
          <w:b/>
          <w:sz w:val="32"/>
          <w:szCs w:val="36"/>
        </w:rPr>
        <w:br w:type="page"/>
      </w:r>
    </w:p>
    <w:p w14:paraId="39F09067">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14:paraId="484FFB05">
      <w:pPr>
        <w:jc w:val="center"/>
        <w:rPr>
          <w:rFonts w:cs="仿宋" w:asciiTheme="minorEastAsia" w:hAnsiTheme="minorEastAsia" w:eastAsiaTheme="minorEastAsia"/>
          <w:b/>
          <w:sz w:val="36"/>
          <w:szCs w:val="36"/>
        </w:rPr>
      </w:pPr>
    </w:p>
    <w:p w14:paraId="3CD6325D">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14:paraId="65B3D723">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我方收到贵司组织的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）征集文件，经详细研究，我方决定参加该项目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14:paraId="229F04D0">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14:paraId="43D9290A">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w:t>
      </w:r>
      <w:r>
        <w:rPr>
          <w:rFonts w:hint="eastAsia" w:cs="仿宋" w:asciiTheme="minorEastAsia" w:hAnsiTheme="minorEastAsia"/>
        </w:rPr>
        <w:t>电子备份光盘（或U盘）一份（含投标文件正本盖章扫描件）。</w:t>
      </w:r>
    </w:p>
    <w:p w14:paraId="46DCE9DA">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3．如果我方投标文件被接受，我方将履行征集文件中规定的每一项要求，按期、按质、按量完成任务。</w:t>
      </w:r>
    </w:p>
    <w:p w14:paraId="231A53D4">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方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14:paraId="0BB6AF8F">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5．我方理解，最低报价不是中标的唯一条件。我方认为贵司有选择或拒绝任何投标者中标的权利。</w:t>
      </w:r>
    </w:p>
    <w:p w14:paraId="3011A14F">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14:paraId="1EBE8A1D">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7．我方同意征集文件之规定，遵守有关采购的各项规定。</w:t>
      </w:r>
    </w:p>
    <w:p w14:paraId="63F979C1">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 xml:space="preserve">8. </w:t>
      </w:r>
      <w:r>
        <w:rPr>
          <w:rFonts w:hint="eastAsia" w:asciiTheme="minorEastAsia" w:hAnsiTheme="minorEastAsia" w:eastAsiaTheme="minorEastAsia"/>
        </w:rPr>
        <w:t>我单位承诺在收到代理服务费缴费通知后7个工作日内领取中标（成交）通知书，逾期将视为我单位放弃中标（成交）资格</w:t>
      </w:r>
      <w:r>
        <w:rPr>
          <w:rFonts w:hint="eastAsia" w:cs="仿宋" w:asciiTheme="minorEastAsia" w:hAnsiTheme="minorEastAsia" w:eastAsiaTheme="minorEastAsia"/>
        </w:rPr>
        <w:t>。</w:t>
      </w:r>
    </w:p>
    <w:p w14:paraId="24CD2162">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14:paraId="275F89F9">
      <w:pPr>
        <w:adjustRightInd w:val="0"/>
        <w:snapToGrid w:val="0"/>
        <w:spacing w:line="360" w:lineRule="auto"/>
        <w:ind w:firstLine="600"/>
        <w:rPr>
          <w:rFonts w:cs="仿宋" w:asciiTheme="minorEastAsia" w:hAnsiTheme="minorEastAsia" w:eastAsiaTheme="minorEastAsia"/>
        </w:rPr>
      </w:pPr>
    </w:p>
    <w:p w14:paraId="486F8F81">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14:paraId="602C6972">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14:paraId="3E01F867">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14:paraId="5697F902">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14:paraId="60284940">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14:paraId="1B94D85A">
      <w:pPr>
        <w:jc w:val="left"/>
        <w:rPr>
          <w:rFonts w:cs="仿宋" w:asciiTheme="minorEastAsia" w:hAnsiTheme="minorEastAsia" w:eastAsiaTheme="minorEastAsia"/>
        </w:rPr>
      </w:pPr>
    </w:p>
    <w:p w14:paraId="220C6C2C">
      <w:pPr>
        <w:widowControl/>
        <w:jc w:val="left"/>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14:paraId="5ECD91D0">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14:paraId="27908F48">
      <w:pPr>
        <w:ind w:firstLine="1274" w:firstLineChars="607"/>
        <w:rPr>
          <w:rFonts w:cs="仿宋" w:asciiTheme="minorEastAsia" w:hAnsiTheme="minorEastAsia" w:eastAsiaTheme="minorEastAsia"/>
        </w:rPr>
      </w:pPr>
    </w:p>
    <w:p w14:paraId="4A973C44">
      <w:pPr>
        <w:spacing w:line="360" w:lineRule="auto"/>
        <w:ind w:firstLine="1279" w:firstLineChars="455"/>
        <w:rPr>
          <w:rFonts w:cs="仿宋" w:asciiTheme="minorEastAsia" w:hAnsiTheme="minorEastAsia" w:eastAsiaTheme="minorEastAsia"/>
          <w:b/>
          <w:sz w:val="28"/>
        </w:rPr>
      </w:pPr>
    </w:p>
    <w:p w14:paraId="4FFACC78">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营业执照或法人证书等证明文件【扫描件或复印件】</w:t>
      </w:r>
    </w:p>
    <w:p w14:paraId="1312E5D9">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14:paraId="39158989">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14:paraId="5172F256">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4、承诺函【详见格式《承诺函》】</w:t>
      </w:r>
    </w:p>
    <w:p w14:paraId="1D250C3F">
      <w:pPr>
        <w:spacing w:line="360" w:lineRule="auto"/>
        <w:ind w:firstLine="424" w:firstLineChars="202"/>
        <w:rPr>
          <w:rFonts w:hint="eastAsia" w:cs="仿宋" w:asciiTheme="minorEastAsia" w:hAnsiTheme="minorEastAsia" w:eastAsiaTheme="minorEastAsia"/>
          <w:bCs/>
          <w:lang w:val="en-US" w:eastAsia="zh-CN"/>
        </w:rPr>
      </w:pPr>
      <w:r>
        <w:rPr>
          <w:rFonts w:hint="eastAsia" w:cs="仿宋" w:asciiTheme="minorEastAsia" w:hAnsiTheme="minorEastAsia" w:eastAsiaTheme="minorEastAsia"/>
          <w:bCs/>
          <w:lang w:val="en-US" w:eastAsia="zh-CN"/>
        </w:rPr>
        <w:t>5、</w:t>
      </w:r>
      <w:r>
        <w:rPr>
          <w:rFonts w:hint="eastAsia" w:cs="仿宋" w:asciiTheme="minorEastAsia" w:hAnsiTheme="minorEastAsia" w:eastAsiaTheme="minorEastAsia"/>
          <w:bCs/>
          <w:szCs w:val="21"/>
          <w:lang w:val="en-US" w:eastAsia="zh-CN"/>
        </w:rPr>
        <w:t>《食品经营许可证》或仅销售预包装食品单位备案证明；如国家另有规定的则适用其规定，须提供相关证明材料</w:t>
      </w:r>
    </w:p>
    <w:p w14:paraId="694E860B">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lang w:val="en-US" w:eastAsia="zh-CN"/>
        </w:rPr>
        <w:t>6</w:t>
      </w:r>
      <w:r>
        <w:rPr>
          <w:rFonts w:hint="eastAsia" w:cs="仿宋" w:asciiTheme="minorEastAsia" w:hAnsiTheme="minorEastAsia" w:eastAsiaTheme="minorEastAsia"/>
          <w:bCs/>
        </w:rPr>
        <w:t>、其他【如有，按采购公告“申请人的资格要求”提供】</w:t>
      </w:r>
    </w:p>
    <w:p w14:paraId="6CD4A7EE">
      <w:pPr>
        <w:adjustRightInd w:val="0"/>
        <w:snapToGrid w:val="0"/>
        <w:spacing w:line="360" w:lineRule="auto"/>
        <w:ind w:firstLine="991" w:firstLineChars="472"/>
        <w:rPr>
          <w:rFonts w:cs="仿宋" w:asciiTheme="minorEastAsia" w:hAnsiTheme="minorEastAsia" w:eastAsiaTheme="minorEastAsia"/>
          <w:bCs/>
        </w:rPr>
      </w:pPr>
    </w:p>
    <w:p w14:paraId="18434FE9">
      <w:pPr>
        <w:spacing w:line="360" w:lineRule="auto"/>
        <w:ind w:left="1394" w:leftChars="474" w:hanging="399" w:hangingChars="190"/>
        <w:rPr>
          <w:rFonts w:cs="仿宋" w:asciiTheme="minorEastAsia" w:hAnsiTheme="minorEastAsia" w:eastAsiaTheme="minorEastAsia"/>
          <w:bCs/>
        </w:rPr>
      </w:pPr>
    </w:p>
    <w:p w14:paraId="190149B1">
      <w:pPr>
        <w:spacing w:line="360" w:lineRule="auto"/>
        <w:ind w:left="1415" w:leftChars="204" w:hanging="987" w:hangingChars="447"/>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14:paraId="2136965C">
      <w:pPr>
        <w:spacing w:line="360" w:lineRule="auto"/>
        <w:ind w:left="1415" w:leftChars="474" w:hanging="420" w:hangingChars="190"/>
        <w:rPr>
          <w:rFonts w:cs="仿宋" w:asciiTheme="minorEastAsia" w:hAnsiTheme="minorEastAsia" w:eastAsiaTheme="minorEastAsia"/>
          <w:b/>
          <w:bCs/>
          <w:color w:val="FF0000"/>
          <w:sz w:val="22"/>
        </w:rPr>
      </w:pPr>
    </w:p>
    <w:p w14:paraId="48B70B9A">
      <w:pPr>
        <w:widowControl/>
        <w:jc w:val="left"/>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14:paraId="65F56213">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14:paraId="31F50560">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5A60896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8D81193">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48A16205">
      <w:pPr>
        <w:spacing w:line="400" w:lineRule="exact"/>
        <w:ind w:firstLine="420" w:firstLineChars="200"/>
        <w:rPr>
          <w:rFonts w:ascii="宋体" w:hAnsi="宋体"/>
          <w:szCs w:val="21"/>
        </w:rPr>
      </w:pPr>
      <w:r>
        <w:rPr>
          <w:rFonts w:hint="eastAsia" w:ascii="宋体" w:hAnsi="宋体"/>
          <w:szCs w:val="21"/>
        </w:rPr>
        <w:t>（一）具有独立承担民事责任的能力；</w:t>
      </w:r>
    </w:p>
    <w:p w14:paraId="41FC449B">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A7357A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43925719">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3A0C4DF7">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F0E4124">
      <w:pPr>
        <w:spacing w:line="400" w:lineRule="exact"/>
        <w:ind w:firstLine="420" w:firstLineChars="200"/>
        <w:rPr>
          <w:rFonts w:ascii="宋体" w:hAnsi="宋体"/>
          <w:szCs w:val="21"/>
        </w:rPr>
      </w:pPr>
      <w:r>
        <w:rPr>
          <w:rFonts w:hint="eastAsia" w:ascii="宋体" w:hAnsi="宋体"/>
          <w:szCs w:val="21"/>
        </w:rPr>
        <w:t>（六）法律、行政法规规定的其他条件。</w:t>
      </w:r>
    </w:p>
    <w:p w14:paraId="1E37A350">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ascii="宋体" w:hAnsi="宋体"/>
          <w:szCs w:val="21"/>
        </w:rPr>
        <w:t>。</w:t>
      </w:r>
    </w:p>
    <w:p w14:paraId="22F276F1">
      <w:pPr>
        <w:spacing w:line="400" w:lineRule="exact"/>
        <w:ind w:firstLine="420" w:firstLineChars="200"/>
        <w:rPr>
          <w:rFonts w:ascii="宋体" w:hAnsi="宋体"/>
          <w:szCs w:val="21"/>
        </w:rPr>
      </w:pPr>
      <w:r>
        <w:rPr>
          <w:rFonts w:hint="eastAsia" w:ascii="宋体" w:hAnsi="宋体"/>
          <w:szCs w:val="21"/>
        </w:rPr>
        <w:t>3.我单位参与本项目</w:t>
      </w:r>
      <w:r>
        <w:rPr>
          <w:rFonts w:hint="eastAsia" w:ascii="Times New Roman" w:hAnsi="Times New Roman"/>
          <w:szCs w:val="24"/>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szCs w:val="24"/>
        </w:rPr>
        <w:t>除单一来源采购项目外，为采购项目提供整体设计、规范编制或者项目管理、监理、检测等服务的供应商，不得再参加该采购项目的其他采购活动</w:t>
      </w:r>
      <w:r>
        <w:rPr>
          <w:rFonts w:hint="eastAsia" w:ascii="Times New Roman" w:hAnsi="Times New Roman"/>
          <w:szCs w:val="24"/>
        </w:rPr>
        <w:t>。</w:t>
      </w:r>
    </w:p>
    <w:p w14:paraId="574F1979">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szCs w:val="24"/>
        </w:rPr>
        <w:t>联合体投标，</w:t>
      </w:r>
      <w:r>
        <w:rPr>
          <w:rFonts w:hint="eastAsia" w:ascii="宋体" w:hAnsi="宋体"/>
          <w:szCs w:val="21"/>
        </w:rPr>
        <w:t>不非法转包或分包，为本项目所提供的货物或服务未侵犯知识产权。</w:t>
      </w:r>
    </w:p>
    <w:p w14:paraId="0E970E63">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szCs w:val="24"/>
        </w:rPr>
        <w:t>不存在《深圳市财政局政府采购供应商信用信息管理办法》（深财规〔2023〕3号）列明的严重违法失信行为。</w:t>
      </w:r>
    </w:p>
    <w:p w14:paraId="507159E7">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我单位参与该项目投标，严格遵循公平竞争的原则，不妨碍其他投标供应商的竞争行为，不损害采购人或者其他投标供应商的合法权益，与其他采购参加人不存在下列串通投标情形：</w:t>
      </w:r>
    </w:p>
    <w:p w14:paraId="4FC13C60">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3D609D7F">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7A5712E">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48FF26E1">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11183BBE">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A1AAC1E">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A1E545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D367D65">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6421249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供应商的报价时，我单位清楚，本项目将成为重点监管、重点验收项目，我单位将按时保质保量完成，并全力配合有关监管、验收工作；若我单位未按上述要求履约，我单位愿意接受主管部门的处理处罚。</w:t>
      </w:r>
    </w:p>
    <w:p w14:paraId="7E9B318F">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E024F7C">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ACA0D99">
      <w:pPr>
        <w:spacing w:line="400" w:lineRule="exact"/>
        <w:ind w:firstLine="420" w:firstLineChars="200"/>
        <w:rPr>
          <w:rFonts w:cs="仿宋" w:asciiTheme="minorEastAsia" w:hAnsiTheme="minorEastAsia" w:eastAsiaTheme="minorEastAsia"/>
          <w:szCs w:val="21"/>
        </w:rPr>
      </w:pPr>
      <w:r>
        <w:rPr>
          <w:rFonts w:hint="eastAsia" w:ascii="宋体" w:hAnsi="宋体"/>
          <w:szCs w:val="21"/>
        </w:rPr>
        <w:t>以上承诺，如有违反，愿依照相关法律法规处理，并承担由此给采购人带来的损失</w:t>
      </w:r>
      <w:r>
        <w:rPr>
          <w:rFonts w:hint="eastAsia" w:cs="仿宋" w:asciiTheme="minorEastAsia" w:hAnsiTheme="minorEastAsia" w:eastAsiaTheme="minorEastAsia"/>
          <w:szCs w:val="21"/>
        </w:rPr>
        <w:t>。</w:t>
      </w:r>
    </w:p>
    <w:p w14:paraId="743627F9">
      <w:pPr>
        <w:spacing w:line="360" w:lineRule="auto"/>
        <w:ind w:firstLine="600"/>
        <w:rPr>
          <w:rFonts w:cs="仿宋" w:asciiTheme="minorEastAsia" w:hAnsiTheme="minorEastAsia" w:eastAsiaTheme="minorEastAsia"/>
          <w:snapToGrid w:val="0"/>
          <w:szCs w:val="18"/>
        </w:rPr>
      </w:pPr>
    </w:p>
    <w:p w14:paraId="3BAACF16">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14:paraId="37FC1F2F">
      <w:pPr>
        <w:adjustRightInd w:val="0"/>
        <w:snapToGrid w:val="0"/>
        <w:spacing w:line="300" w:lineRule="auto"/>
        <w:rPr>
          <w:rFonts w:cs="仿宋" w:asciiTheme="minorEastAsia" w:hAnsiTheme="minorEastAsia" w:eastAsiaTheme="minorEastAsia"/>
          <w:snapToGrid w:val="0"/>
          <w:kern w:val="0"/>
        </w:rPr>
      </w:pPr>
    </w:p>
    <w:p w14:paraId="304DFBCA">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14:paraId="3A0BC061">
      <w:pPr>
        <w:snapToGrid w:val="0"/>
        <w:spacing w:line="360" w:lineRule="auto"/>
        <w:ind w:left="560"/>
        <w:jc w:val="right"/>
        <w:rPr>
          <w:rFonts w:cs="仿宋" w:asciiTheme="minorEastAsia" w:hAnsiTheme="minorEastAsia" w:eastAsiaTheme="minorEastAsia"/>
          <w:bCs/>
        </w:rPr>
      </w:pPr>
      <w:r>
        <w:rPr>
          <w:rFonts w:hint="eastAsia" w:cs="仿宋" w:asciiTheme="minorEastAsia" w:hAnsiTheme="minorEastAsia" w:eastAsiaTheme="minorEastAsia"/>
        </w:rPr>
        <w:t>年     月    日</w:t>
      </w:r>
    </w:p>
    <w:p w14:paraId="23F00326">
      <w:pPr>
        <w:widowControl/>
        <w:jc w:val="left"/>
        <w:rPr>
          <w:rFonts w:cs="仿宋" w:asciiTheme="minorEastAsia" w:hAnsiTheme="minorEastAsia" w:eastAsiaTheme="minorEastAsia"/>
        </w:rPr>
      </w:pPr>
      <w:r>
        <w:rPr>
          <w:rFonts w:cs="仿宋" w:asciiTheme="minorEastAsia" w:hAnsiTheme="minorEastAsia" w:eastAsiaTheme="minorEastAsia"/>
        </w:rPr>
        <w:br w:type="page"/>
      </w:r>
    </w:p>
    <w:p w14:paraId="3A43790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524E343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s="仿宋" w:asciiTheme="minorEastAsia" w:hAnsiTheme="minorEastAsia" w:eastAsiaTheme="minorEastAsia"/>
          <w:lang w:val="en-US" w:eastAsia="zh-CN"/>
        </w:rPr>
      </w:pPr>
    </w:p>
    <w:p w14:paraId="6E057269">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14:paraId="41D99F45">
      <w:pPr>
        <w:jc w:val="center"/>
        <w:rPr>
          <w:rFonts w:cs="仿宋" w:asciiTheme="minorEastAsia" w:hAnsiTheme="minorEastAsia" w:eastAsiaTheme="minorEastAsia"/>
          <w:b/>
          <w:sz w:val="32"/>
          <w:szCs w:val="36"/>
        </w:rPr>
      </w:pPr>
    </w:p>
    <w:p w14:paraId="03CAFA81">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职务，为法定代表人（负责人），特此证明。</w:t>
      </w:r>
    </w:p>
    <w:p w14:paraId="43BD34C4">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37491C0D">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14:paraId="18030E98">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14:paraId="4AF4E9BB">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14:paraId="68AA7423">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14:paraId="2DD23ED8">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14:paraId="61AC328E">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w:t>
      </w:r>
    </w:p>
    <w:p w14:paraId="70256015">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781606F">
      <w:pPr>
        <w:spacing w:line="360" w:lineRule="auto"/>
        <w:ind w:firstLine="849" w:firstLineChars="354"/>
        <w:jc w:val="right"/>
        <w:rPr>
          <w:rFonts w:cs="仿宋" w:asciiTheme="minorEastAsia" w:hAnsiTheme="minorEastAsia" w:eastAsiaTheme="minorEastAsia"/>
          <w:sz w:val="24"/>
        </w:rPr>
      </w:pPr>
    </w:p>
    <w:p w14:paraId="74C78393">
      <w:pPr>
        <w:spacing w:line="360" w:lineRule="auto"/>
        <w:rPr>
          <w:rFonts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2336"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2002B8">
                            <w:pPr>
                              <w:spacing w:line="360" w:lineRule="auto"/>
                              <w:ind w:firstLine="1680" w:firstLineChars="800"/>
                            </w:pPr>
                          </w:p>
                          <w:p w14:paraId="6E3D4816">
                            <w:pPr>
                              <w:spacing w:line="360" w:lineRule="auto"/>
                              <w:jc w:val="center"/>
                              <w:rPr>
                                <w:rFonts w:ascii="仿宋" w:hAnsi="仿宋" w:eastAsia="仿宋"/>
                                <w:sz w:val="22"/>
                              </w:rPr>
                            </w:pPr>
                            <w:r>
                              <w:rPr>
                                <w:rFonts w:hint="eastAsia" w:ascii="仿宋" w:hAnsi="仿宋" w:eastAsia="仿宋"/>
                                <w:sz w:val="22"/>
                              </w:rPr>
                              <w:t>法定代表人</w:t>
                            </w:r>
                          </w:p>
                          <w:p w14:paraId="44511926">
                            <w:pPr>
                              <w:spacing w:line="360" w:lineRule="auto"/>
                              <w:jc w:val="center"/>
                              <w:rPr>
                                <w:rFonts w:ascii="仿宋" w:hAnsi="仿宋" w:eastAsia="仿宋"/>
                                <w:sz w:val="22"/>
                              </w:rPr>
                            </w:pPr>
                            <w:r>
                              <w:rPr>
                                <w:rFonts w:hint="eastAsia" w:ascii="仿宋" w:hAnsi="仿宋" w:eastAsia="仿宋"/>
                                <w:sz w:val="22"/>
                              </w:rPr>
                              <w:t>居民身份证复印件粘贴处</w:t>
                            </w:r>
                          </w:p>
                          <w:p w14:paraId="758DD3B8">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2336;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fill on="t" focussize="0,0"/>
                <v:stroke color="#000000" joinstyle="miter"/>
                <v:imagedata o:title=""/>
                <o:lock v:ext="edit" aspectratio="f"/>
                <v:textbox>
                  <w:txbxContent>
                    <w:p w14:paraId="6A2002B8">
                      <w:pPr>
                        <w:spacing w:line="360" w:lineRule="auto"/>
                        <w:ind w:firstLine="1680" w:firstLineChars="800"/>
                      </w:pPr>
                    </w:p>
                    <w:p w14:paraId="6E3D4816">
                      <w:pPr>
                        <w:spacing w:line="360" w:lineRule="auto"/>
                        <w:jc w:val="center"/>
                        <w:rPr>
                          <w:rFonts w:ascii="仿宋" w:hAnsi="仿宋" w:eastAsia="仿宋"/>
                          <w:sz w:val="22"/>
                        </w:rPr>
                      </w:pPr>
                      <w:r>
                        <w:rPr>
                          <w:rFonts w:hint="eastAsia" w:ascii="仿宋" w:hAnsi="仿宋" w:eastAsia="仿宋"/>
                          <w:sz w:val="22"/>
                        </w:rPr>
                        <w:t>法定代表人</w:t>
                      </w:r>
                    </w:p>
                    <w:p w14:paraId="44511926">
                      <w:pPr>
                        <w:spacing w:line="360" w:lineRule="auto"/>
                        <w:jc w:val="center"/>
                        <w:rPr>
                          <w:rFonts w:ascii="仿宋" w:hAnsi="仿宋" w:eastAsia="仿宋"/>
                          <w:sz w:val="22"/>
                        </w:rPr>
                      </w:pPr>
                      <w:r>
                        <w:rPr>
                          <w:rFonts w:hint="eastAsia" w:ascii="仿宋" w:hAnsi="仿宋" w:eastAsia="仿宋"/>
                          <w:sz w:val="22"/>
                        </w:rPr>
                        <w:t>居民身份证复印件粘贴处</w:t>
                      </w:r>
                    </w:p>
                    <w:p w14:paraId="758DD3B8">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500E1F">
                            <w:pPr>
                              <w:spacing w:line="360" w:lineRule="auto"/>
                              <w:jc w:val="center"/>
                            </w:pPr>
                          </w:p>
                          <w:p w14:paraId="1AC42CE0">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1C6FD906">
                            <w:pPr>
                              <w:spacing w:line="360" w:lineRule="auto"/>
                              <w:jc w:val="center"/>
                              <w:rPr>
                                <w:rFonts w:ascii="仿宋" w:hAnsi="仿宋" w:eastAsia="仿宋"/>
                                <w:sz w:val="22"/>
                              </w:rPr>
                            </w:pPr>
                            <w:r>
                              <w:rPr>
                                <w:rFonts w:hint="eastAsia" w:ascii="仿宋" w:hAnsi="仿宋" w:eastAsia="仿宋"/>
                                <w:sz w:val="22"/>
                              </w:rPr>
                              <w:t>居民身份证复印件粘贴处</w:t>
                            </w:r>
                          </w:p>
                          <w:p w14:paraId="7732F8F8">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1312;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fill on="t" focussize="0,0"/>
                <v:stroke color="#000000" joinstyle="miter"/>
                <v:imagedata o:title=""/>
                <o:lock v:ext="edit" aspectratio="f"/>
                <v:textbox>
                  <w:txbxContent>
                    <w:p w14:paraId="06500E1F">
                      <w:pPr>
                        <w:spacing w:line="360" w:lineRule="auto"/>
                        <w:jc w:val="center"/>
                      </w:pPr>
                    </w:p>
                    <w:p w14:paraId="1AC42CE0">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1C6FD906">
                      <w:pPr>
                        <w:spacing w:line="360" w:lineRule="auto"/>
                        <w:jc w:val="center"/>
                        <w:rPr>
                          <w:rFonts w:ascii="仿宋" w:hAnsi="仿宋" w:eastAsia="仿宋"/>
                          <w:sz w:val="22"/>
                        </w:rPr>
                      </w:pPr>
                      <w:r>
                        <w:rPr>
                          <w:rFonts w:hint="eastAsia" w:ascii="仿宋" w:hAnsi="仿宋" w:eastAsia="仿宋"/>
                          <w:sz w:val="22"/>
                        </w:rPr>
                        <w:t>居民身份证复印件粘贴处</w:t>
                      </w:r>
                    </w:p>
                    <w:p w14:paraId="7732F8F8">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14:paraId="75562124">
      <w:pPr>
        <w:spacing w:line="360" w:lineRule="auto"/>
        <w:rPr>
          <w:rFonts w:cs="仿宋" w:asciiTheme="minorEastAsia" w:hAnsiTheme="minorEastAsia" w:eastAsiaTheme="minorEastAsia"/>
          <w:b/>
          <w:bCs/>
        </w:rPr>
      </w:pPr>
    </w:p>
    <w:p w14:paraId="7CC975FF">
      <w:pPr>
        <w:spacing w:line="360" w:lineRule="auto"/>
        <w:rPr>
          <w:rFonts w:cs="仿宋" w:asciiTheme="minorEastAsia" w:hAnsiTheme="minorEastAsia" w:eastAsiaTheme="minorEastAsia"/>
          <w:b/>
          <w:bCs/>
        </w:rPr>
      </w:pPr>
    </w:p>
    <w:p w14:paraId="711244B5">
      <w:pPr>
        <w:spacing w:line="360" w:lineRule="auto"/>
        <w:rPr>
          <w:rFonts w:cs="仿宋" w:asciiTheme="minorEastAsia" w:hAnsiTheme="minorEastAsia" w:eastAsiaTheme="minorEastAsia"/>
          <w:b/>
          <w:bCs/>
        </w:rPr>
      </w:pPr>
    </w:p>
    <w:p w14:paraId="0544C599">
      <w:pPr>
        <w:spacing w:line="360" w:lineRule="auto"/>
        <w:rPr>
          <w:rFonts w:cs="仿宋" w:asciiTheme="minorEastAsia" w:hAnsiTheme="minorEastAsia" w:eastAsiaTheme="minorEastAsia"/>
          <w:b/>
          <w:bCs/>
        </w:rPr>
      </w:pPr>
    </w:p>
    <w:p w14:paraId="04580468">
      <w:pPr>
        <w:spacing w:line="360" w:lineRule="auto"/>
        <w:rPr>
          <w:rFonts w:cs="仿宋" w:asciiTheme="minorEastAsia" w:hAnsiTheme="minorEastAsia" w:eastAsiaTheme="minorEastAsia"/>
          <w:b/>
          <w:bCs/>
        </w:rPr>
      </w:pPr>
    </w:p>
    <w:p w14:paraId="51AF765B">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14:paraId="207C9EA5">
      <w:pPr>
        <w:rPr>
          <w:rFonts w:cs="仿宋" w:asciiTheme="minorEastAsia" w:hAnsiTheme="minorEastAsia" w:eastAsiaTheme="minorEastAsia"/>
        </w:rPr>
      </w:pPr>
    </w:p>
    <w:p w14:paraId="5F0C4FEA">
      <w:pPr>
        <w:rPr>
          <w:rFonts w:cs="仿宋" w:asciiTheme="minorEastAsia" w:hAnsiTheme="minorEastAsia" w:eastAsiaTheme="minorEastAsia"/>
        </w:rPr>
      </w:pPr>
      <w:r>
        <w:rPr>
          <w:rFonts w:hint="eastAsia" w:asciiTheme="minorEastAsia" w:hAnsiTheme="minorEastAsia" w:eastAsiaTheme="minorEastAsia"/>
          <w:b/>
          <w:szCs w:val="24"/>
          <w:highlight w:val="yellow"/>
        </w:rPr>
        <w:t>附：法定代表人（负责人）社保缴纳查询记录</w:t>
      </w:r>
    </w:p>
    <w:p w14:paraId="4A6963A3">
      <w:pPr>
        <w:rPr>
          <w:rFonts w:cs="仿宋" w:asciiTheme="minorEastAsia" w:hAnsiTheme="minorEastAsia" w:eastAsiaTheme="minorEastAsia"/>
        </w:rPr>
      </w:pPr>
    </w:p>
    <w:p w14:paraId="746D5A00">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43777181">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法定代表人（负责人）授权委托书（格式）</w:t>
      </w:r>
    </w:p>
    <w:p w14:paraId="410E5B45">
      <w:pPr>
        <w:spacing w:line="360" w:lineRule="auto"/>
        <w:rPr>
          <w:rFonts w:cs="仿宋" w:asciiTheme="minorEastAsia" w:hAnsiTheme="minorEastAsia" w:eastAsiaTheme="minorEastAsia"/>
        </w:rPr>
      </w:pPr>
    </w:p>
    <w:p w14:paraId="67D406F8">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14:paraId="298C8C61">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14:paraId="72D4F73D">
      <w:pPr>
        <w:spacing w:line="360" w:lineRule="auto"/>
        <w:rPr>
          <w:rFonts w:cs="仿宋" w:asciiTheme="minorEastAsia" w:hAnsiTheme="minorEastAsia" w:eastAsiaTheme="minorEastAsia"/>
        </w:rPr>
      </w:pPr>
    </w:p>
    <w:p w14:paraId="24092EDB">
      <w:pPr>
        <w:adjustRightInd w:val="0"/>
        <w:snapToGrid w:val="0"/>
        <w:spacing w:line="360" w:lineRule="auto"/>
        <w:ind w:firstLine="629"/>
        <w:rPr>
          <w:rFonts w:cs="仿宋" w:asciiTheme="minorEastAsia" w:hAnsiTheme="minorEastAsia" w:eastAsiaTheme="minorEastAsia"/>
          <w:b/>
        </w:rPr>
      </w:pPr>
      <w:r>
        <w:rPr>
          <w:rFonts w:hint="eastAsia" w:cs="仿宋" w:asciiTheme="minorEastAsia" w:hAnsiTheme="minorEastAsia" w:eastAsiaTheme="minorEastAsia"/>
          <w:b/>
        </w:rPr>
        <w:t>附授权代表情况：</w:t>
      </w:r>
    </w:p>
    <w:p w14:paraId="2A0F1203">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14:paraId="7AA08832">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14:paraId="28054C98">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14:paraId="01E55A03">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14:paraId="00B34797">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14:paraId="247755DB">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14:paraId="003262F6">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14:paraId="42B6C37D">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14:paraId="499EBBAE">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00C139E9">
      <w:pPr>
        <w:spacing w:line="360" w:lineRule="auto"/>
        <w:ind w:firstLine="630"/>
        <w:rPr>
          <w:rFonts w:cs="仿宋" w:asciiTheme="minorEastAsia" w:hAnsiTheme="minorEastAsia" w:eastAsiaTheme="minorEastAsia"/>
        </w:rPr>
      </w:pPr>
    </w:p>
    <w:p w14:paraId="67294528">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C973157">
      <w:pPr>
        <w:spacing w:line="360" w:lineRule="auto"/>
        <w:rPr>
          <w:rFonts w:cs="仿宋" w:asciiTheme="minorEastAsia" w:hAnsiTheme="minorEastAsia" w:eastAsiaTheme="minorEastAsia"/>
        </w:rPr>
      </w:pPr>
      <w:bookmarkStart w:id="5" w:name="_Toc226217114"/>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F1C89F">
                            <w:pPr>
                              <w:spacing w:line="360" w:lineRule="auto"/>
                              <w:ind w:firstLine="1260" w:firstLineChars="600"/>
                            </w:pPr>
                          </w:p>
                          <w:p w14:paraId="5277415D">
                            <w:pPr>
                              <w:spacing w:line="360" w:lineRule="auto"/>
                              <w:jc w:val="center"/>
                              <w:rPr>
                                <w:rFonts w:ascii="仿宋" w:hAnsi="仿宋" w:eastAsia="仿宋"/>
                                <w:sz w:val="22"/>
                              </w:rPr>
                            </w:pPr>
                            <w:r>
                              <w:rPr>
                                <w:rFonts w:hint="eastAsia" w:ascii="仿宋" w:hAnsi="仿宋" w:eastAsia="仿宋"/>
                                <w:sz w:val="22"/>
                              </w:rPr>
                              <w:t>被授权人（授权代表）</w:t>
                            </w:r>
                          </w:p>
                          <w:p w14:paraId="60D2F232">
                            <w:pPr>
                              <w:spacing w:line="360" w:lineRule="auto"/>
                              <w:jc w:val="center"/>
                              <w:rPr>
                                <w:rFonts w:ascii="仿宋" w:hAnsi="仿宋" w:eastAsia="仿宋"/>
                                <w:sz w:val="22"/>
                              </w:rPr>
                            </w:pPr>
                            <w:r>
                              <w:rPr>
                                <w:rFonts w:hint="eastAsia" w:ascii="仿宋" w:hAnsi="仿宋" w:eastAsia="仿宋"/>
                                <w:sz w:val="22"/>
                              </w:rPr>
                              <w:t>居民身份证复印件粘贴处</w:t>
                            </w:r>
                          </w:p>
                          <w:p w14:paraId="49678BE9">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3360;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fill on="t" focussize="0,0"/>
                <v:stroke color="#000000" joinstyle="miter"/>
                <v:imagedata o:title=""/>
                <o:lock v:ext="edit" aspectratio="f"/>
                <v:textbox>
                  <w:txbxContent>
                    <w:p w14:paraId="56F1C89F">
                      <w:pPr>
                        <w:spacing w:line="360" w:lineRule="auto"/>
                        <w:ind w:firstLine="1260" w:firstLineChars="600"/>
                      </w:pPr>
                    </w:p>
                    <w:p w14:paraId="5277415D">
                      <w:pPr>
                        <w:spacing w:line="360" w:lineRule="auto"/>
                        <w:jc w:val="center"/>
                        <w:rPr>
                          <w:rFonts w:ascii="仿宋" w:hAnsi="仿宋" w:eastAsia="仿宋"/>
                          <w:sz w:val="22"/>
                        </w:rPr>
                      </w:pPr>
                      <w:r>
                        <w:rPr>
                          <w:rFonts w:hint="eastAsia" w:ascii="仿宋" w:hAnsi="仿宋" w:eastAsia="仿宋"/>
                          <w:sz w:val="22"/>
                        </w:rPr>
                        <w:t>被授权人（授权代表）</w:t>
                      </w:r>
                    </w:p>
                    <w:p w14:paraId="60D2F232">
                      <w:pPr>
                        <w:spacing w:line="360" w:lineRule="auto"/>
                        <w:jc w:val="center"/>
                        <w:rPr>
                          <w:rFonts w:ascii="仿宋" w:hAnsi="仿宋" w:eastAsia="仿宋"/>
                          <w:sz w:val="22"/>
                        </w:rPr>
                      </w:pPr>
                      <w:r>
                        <w:rPr>
                          <w:rFonts w:hint="eastAsia" w:ascii="仿宋" w:hAnsi="仿宋" w:eastAsia="仿宋"/>
                          <w:sz w:val="22"/>
                        </w:rPr>
                        <w:t>居民身份证复印件粘贴处</w:t>
                      </w:r>
                    </w:p>
                    <w:p w14:paraId="49678BE9">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4384"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1A870">
                            <w:pPr>
                              <w:spacing w:line="360" w:lineRule="auto"/>
                              <w:jc w:val="center"/>
                            </w:pPr>
                          </w:p>
                          <w:p w14:paraId="1AD10E8A">
                            <w:pPr>
                              <w:spacing w:line="360" w:lineRule="auto"/>
                              <w:jc w:val="center"/>
                              <w:rPr>
                                <w:rFonts w:ascii="仿宋" w:hAnsi="仿宋" w:eastAsia="仿宋"/>
                                <w:sz w:val="22"/>
                              </w:rPr>
                            </w:pPr>
                            <w:r>
                              <w:rPr>
                                <w:rFonts w:hint="eastAsia" w:ascii="仿宋" w:hAnsi="仿宋" w:eastAsia="仿宋"/>
                                <w:sz w:val="22"/>
                              </w:rPr>
                              <w:t>被授权人（授权代表）</w:t>
                            </w:r>
                          </w:p>
                          <w:p w14:paraId="60F400C0">
                            <w:pPr>
                              <w:spacing w:line="360" w:lineRule="auto"/>
                              <w:jc w:val="center"/>
                              <w:rPr>
                                <w:rFonts w:ascii="仿宋" w:hAnsi="仿宋" w:eastAsia="仿宋"/>
                                <w:sz w:val="22"/>
                              </w:rPr>
                            </w:pPr>
                            <w:r>
                              <w:rPr>
                                <w:rFonts w:hint="eastAsia" w:ascii="仿宋" w:hAnsi="仿宋" w:eastAsia="仿宋"/>
                                <w:sz w:val="22"/>
                              </w:rPr>
                              <w:t>居民身份证复印件粘贴处</w:t>
                            </w:r>
                          </w:p>
                          <w:p w14:paraId="716D1375">
                            <w:pPr>
                              <w:spacing w:line="360" w:lineRule="auto"/>
                              <w:jc w:val="center"/>
                              <w:rPr>
                                <w:rFonts w:ascii="仿宋" w:hAnsi="仿宋" w:eastAsia="仿宋"/>
                              </w:rPr>
                            </w:pPr>
                            <w:r>
                              <w:rPr>
                                <w:rFonts w:hint="eastAsia" w:ascii="仿宋" w:hAnsi="仿宋" w:eastAsia="仿宋"/>
                                <w:sz w:val="22"/>
                              </w:rPr>
                              <w:t>（反面）</w:t>
                            </w:r>
                          </w:p>
                          <w:p w14:paraId="7F946C7A"/>
                        </w:txbxContent>
                      </wps:txbx>
                      <wps:bodyPr upright="1"/>
                    </wps:wsp>
                  </a:graphicData>
                </a:graphic>
              </wp:anchor>
            </w:drawing>
          </mc:Choice>
          <mc:Fallback>
            <w:pict>
              <v:rect id="Rectangle 3" o:spid="_x0000_s1026" o:spt="1" style="position:absolute;left:0pt;margin-left:222.15pt;margin-top:5.6pt;height:135.65pt;width:199.5pt;z-index:251664384;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fill on="t" focussize="0,0"/>
                <v:stroke color="#000000" joinstyle="miter"/>
                <v:imagedata o:title=""/>
                <o:lock v:ext="edit" aspectratio="f"/>
                <v:textbox>
                  <w:txbxContent>
                    <w:p w14:paraId="4451A870">
                      <w:pPr>
                        <w:spacing w:line="360" w:lineRule="auto"/>
                        <w:jc w:val="center"/>
                      </w:pPr>
                    </w:p>
                    <w:p w14:paraId="1AD10E8A">
                      <w:pPr>
                        <w:spacing w:line="360" w:lineRule="auto"/>
                        <w:jc w:val="center"/>
                        <w:rPr>
                          <w:rFonts w:ascii="仿宋" w:hAnsi="仿宋" w:eastAsia="仿宋"/>
                          <w:sz w:val="22"/>
                        </w:rPr>
                      </w:pPr>
                      <w:r>
                        <w:rPr>
                          <w:rFonts w:hint="eastAsia" w:ascii="仿宋" w:hAnsi="仿宋" w:eastAsia="仿宋"/>
                          <w:sz w:val="22"/>
                        </w:rPr>
                        <w:t>被授权人（授权代表）</w:t>
                      </w:r>
                    </w:p>
                    <w:p w14:paraId="60F400C0">
                      <w:pPr>
                        <w:spacing w:line="360" w:lineRule="auto"/>
                        <w:jc w:val="center"/>
                        <w:rPr>
                          <w:rFonts w:ascii="仿宋" w:hAnsi="仿宋" w:eastAsia="仿宋"/>
                          <w:sz w:val="22"/>
                        </w:rPr>
                      </w:pPr>
                      <w:r>
                        <w:rPr>
                          <w:rFonts w:hint="eastAsia" w:ascii="仿宋" w:hAnsi="仿宋" w:eastAsia="仿宋"/>
                          <w:sz w:val="22"/>
                        </w:rPr>
                        <w:t>居民身份证复印件粘贴处</w:t>
                      </w:r>
                    </w:p>
                    <w:p w14:paraId="716D1375">
                      <w:pPr>
                        <w:spacing w:line="360" w:lineRule="auto"/>
                        <w:jc w:val="center"/>
                        <w:rPr>
                          <w:rFonts w:ascii="仿宋" w:hAnsi="仿宋" w:eastAsia="仿宋"/>
                        </w:rPr>
                      </w:pPr>
                      <w:r>
                        <w:rPr>
                          <w:rFonts w:hint="eastAsia" w:ascii="仿宋" w:hAnsi="仿宋" w:eastAsia="仿宋"/>
                          <w:sz w:val="22"/>
                        </w:rPr>
                        <w:t>（反面）</w:t>
                      </w:r>
                    </w:p>
                    <w:p w14:paraId="7F946C7A"/>
                  </w:txbxContent>
                </v:textbox>
              </v:rect>
            </w:pict>
          </mc:Fallback>
        </mc:AlternateContent>
      </w:r>
      <w:bookmarkEnd w:id="5"/>
    </w:p>
    <w:p w14:paraId="4CB1B04F">
      <w:pPr>
        <w:spacing w:line="360" w:lineRule="auto"/>
        <w:rPr>
          <w:rFonts w:cs="仿宋" w:asciiTheme="minorEastAsia" w:hAnsiTheme="minorEastAsia" w:eastAsiaTheme="minorEastAsia"/>
        </w:rPr>
      </w:pPr>
    </w:p>
    <w:p w14:paraId="38B14128">
      <w:pPr>
        <w:spacing w:line="360" w:lineRule="auto"/>
        <w:rPr>
          <w:rFonts w:cs="仿宋" w:asciiTheme="minorEastAsia" w:hAnsiTheme="minorEastAsia" w:eastAsiaTheme="minorEastAsia"/>
        </w:rPr>
      </w:pPr>
    </w:p>
    <w:p w14:paraId="199D416B">
      <w:pPr>
        <w:spacing w:line="360" w:lineRule="auto"/>
        <w:rPr>
          <w:rFonts w:cs="仿宋" w:asciiTheme="minorEastAsia" w:hAnsiTheme="minorEastAsia" w:eastAsiaTheme="minorEastAsia"/>
        </w:rPr>
      </w:pPr>
    </w:p>
    <w:p w14:paraId="4FCA50A8">
      <w:pPr>
        <w:spacing w:line="360" w:lineRule="auto"/>
        <w:rPr>
          <w:rFonts w:cs="仿宋" w:asciiTheme="minorEastAsia" w:hAnsiTheme="minorEastAsia" w:eastAsiaTheme="minorEastAsia"/>
        </w:rPr>
      </w:pPr>
    </w:p>
    <w:p w14:paraId="26A1F6A5">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14:paraId="503F4977">
      <w:pPr>
        <w:spacing w:line="360" w:lineRule="auto"/>
        <w:rPr>
          <w:rFonts w:cs="仿宋" w:asciiTheme="minorEastAsia" w:hAnsiTheme="minorEastAsia" w:eastAsiaTheme="minorEastAsia"/>
        </w:rPr>
      </w:pPr>
    </w:p>
    <w:p w14:paraId="13067980">
      <w:pPr>
        <w:adjustRightInd w:val="0"/>
        <w:snapToGrid w:val="0"/>
        <w:spacing w:line="360" w:lineRule="auto"/>
        <w:ind w:firstLine="5008" w:firstLineChars="2385"/>
        <w:rPr>
          <w:rFonts w:cs="仿宋" w:asciiTheme="minorEastAsia" w:hAnsiTheme="minorEastAsia" w:eastAsiaTheme="minorEastAsia"/>
        </w:rPr>
      </w:pPr>
    </w:p>
    <w:p w14:paraId="583ABAE1">
      <w:pPr>
        <w:ind w:left="433" w:hanging="433" w:hangingChars="196"/>
        <w:rPr>
          <w:rFonts w:hint="eastAsia" w:cs="仿宋" w:asciiTheme="minorEastAsia" w:hAnsiTheme="minorEastAsia" w:eastAsiaTheme="minorEastAsia"/>
          <w:b/>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14:paraId="5B688BEC">
      <w:pPr>
        <w:pStyle w:val="5"/>
      </w:pPr>
      <w:r>
        <w:rPr>
          <w:rFonts w:hint="eastAsia" w:cs="Times New Roman" w:asciiTheme="minorEastAsia" w:hAnsiTheme="minorEastAsia" w:eastAsiaTheme="minorEastAsia"/>
          <w:b/>
          <w:bCs w:val="0"/>
          <w:kern w:val="2"/>
          <w:sz w:val="21"/>
          <w:szCs w:val="24"/>
          <w:highlight w:val="yellow"/>
          <w:lang w:val="en-US" w:eastAsia="zh-CN" w:bidi="ar-SA"/>
        </w:rPr>
        <w:t>附：法定代表人（负责人）社保缴纳查询记录</w:t>
      </w:r>
    </w:p>
    <w:p w14:paraId="7FA85D6D">
      <w:pPr>
        <w:widowControl/>
        <w:jc w:val="center"/>
        <w:rPr>
          <w:rFonts w:cs="仿宋" w:asciiTheme="minorEastAsia" w:hAnsiTheme="minorEastAsia" w:eastAsiaTheme="minorEastAsia"/>
        </w:rPr>
      </w:pPr>
      <w:r>
        <w:rPr>
          <w:rFonts w:hint="eastAsia" w:cs="仿宋" w:asciiTheme="minorEastAsia" w:hAnsiTheme="minorEastAsia" w:eastAsiaTheme="minorEastAsia"/>
          <w:b/>
          <w:sz w:val="32"/>
          <w:szCs w:val="36"/>
        </w:rPr>
        <w:t xml:space="preserve"> </w:t>
      </w:r>
    </w:p>
    <w:p w14:paraId="7720B469">
      <w:pPr>
        <w:jc w:val="center"/>
        <w:rPr>
          <w:rFonts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14:paraId="34FCE527">
      <w:pPr>
        <w:widowControl/>
        <w:snapToGrid w:val="0"/>
        <w:spacing w:line="360" w:lineRule="auto"/>
        <w:jc w:val="left"/>
        <w:outlineLvl w:val="4"/>
        <w:rPr>
          <w:rFonts w:ascii="仿宋" w:hAnsi="仿宋" w:eastAsia="仿宋"/>
          <w:b/>
          <w:bCs/>
          <w:color w:val="FF0000"/>
          <w:kern w:val="0"/>
          <w:sz w:val="25"/>
          <w:szCs w:val="25"/>
        </w:rPr>
      </w:pPr>
    </w:p>
    <w:p w14:paraId="2733DA88">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7EB75A59">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1、该部分内容由投标供应商根据自身实际情况填写，投标供应商提供的声明函不属实的，属于提供虚假资料谋取中标，依照《中华人民共和国政府采购法》等国家有关规定追究相应责任。</w:t>
      </w:r>
    </w:p>
    <w:p w14:paraId="483F12D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14:paraId="7AFB655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5A2063E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 w:name="_Hlk71925120"/>
      <w:r>
        <w:rPr>
          <w:rFonts w:hint="eastAsia" w:asciiTheme="minorEastAsia" w:hAnsiTheme="minorEastAsia" w:eastAsiaTheme="minorEastAsia"/>
          <w:kern w:val="0"/>
          <w:szCs w:val="21"/>
        </w:rPr>
        <w:t>《关于印发中小企业划型标准规定的通知》（工信部联企业〔2011〕300 号</w:t>
      </w:r>
      <w:bookmarkEnd w:id="6"/>
      <w:r>
        <w:rPr>
          <w:rFonts w:hint="eastAsia" w:asciiTheme="minorEastAsia" w:hAnsiTheme="minorEastAsia" w:eastAsiaTheme="minorEastAsia"/>
          <w:kern w:val="0"/>
          <w:szCs w:val="21"/>
        </w:rPr>
        <w:t>）</w:t>
      </w:r>
    </w:p>
    <w:p w14:paraId="503CE9E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5688E69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32832ACA">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62CC0C9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3、请依照征集文件提供的格式和内容填写声明函，不要随意变更格式；满足多项优惠政策的投标供应商，不重复享受多项价格扣除政策。不符合要求的供应商可以不填写。</w:t>
      </w:r>
    </w:p>
    <w:p w14:paraId="7BB182B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26DAAFC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7BB3BE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86FE47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（具体详见征集项目需求，如涉及多项标的，投标供应商需逐项进行响应）</w:t>
      </w:r>
      <w:r>
        <w:rPr>
          <w:rFonts w:hint="eastAsia" w:asciiTheme="minorEastAsia" w:hAnsiTheme="minorEastAsia" w:eastAsiaTheme="minorEastAsia"/>
          <w:kern w:val="0"/>
          <w:szCs w:val="21"/>
        </w:rPr>
        <w:t>；</w:t>
      </w:r>
    </w:p>
    <w:p w14:paraId="351E1C7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（详见评审信息）</w:t>
      </w:r>
      <w:r>
        <w:rPr>
          <w:rFonts w:hint="eastAsia" w:asciiTheme="minorEastAsia" w:hAnsiTheme="minorEastAsia" w:eastAsiaTheme="minorEastAsia"/>
          <w:kern w:val="0"/>
          <w:szCs w:val="21"/>
        </w:rPr>
        <w:t>；</w:t>
      </w:r>
    </w:p>
    <w:p w14:paraId="5708D01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E9D738C">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57A8A4E5">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631CD36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0F48DEB">
      <w:pPr>
        <w:widowControl/>
        <w:snapToGrid w:val="0"/>
        <w:spacing w:line="360" w:lineRule="auto"/>
        <w:ind w:firstLine="424" w:firstLineChars="202"/>
        <w:jc w:val="left"/>
        <w:rPr>
          <w:rFonts w:asciiTheme="minorEastAsia" w:hAnsiTheme="minorEastAsia" w:eastAsiaTheme="minorEastAsia"/>
          <w:kern w:val="0"/>
          <w:szCs w:val="21"/>
        </w:rPr>
      </w:pPr>
    </w:p>
    <w:p w14:paraId="277F0C02">
      <w:pPr>
        <w:widowControl/>
        <w:jc w:val="left"/>
        <w:rPr>
          <w:rFonts w:cs="仿宋" w:asciiTheme="minorEastAsia" w:hAnsiTheme="minorEastAsia" w:eastAsiaTheme="minorEastAsia"/>
        </w:rPr>
      </w:pPr>
    </w:p>
    <w:p w14:paraId="5C414989">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14:paraId="7F70AA3A">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本公司（联合体）郑重声明，根据《政府采购促进中小企业发展管理办法》（财库﹝2020﹞46 号）的规定，本公司（联合体）参加（</w:t>
      </w:r>
      <w:r>
        <w:rPr>
          <w:rFonts w:hint="eastAsia" w:cs="仿宋" w:asciiTheme="minorEastAsia" w:hAnsiTheme="minorEastAsia" w:eastAsiaTheme="minorEastAsia"/>
          <w:snapToGrid w:val="0"/>
          <w:szCs w:val="18"/>
          <w:u w:val="single"/>
        </w:rPr>
        <w:t>单位名称</w:t>
      </w:r>
      <w:r>
        <w:rPr>
          <w:rFonts w:hint="eastAsia" w:cs="仿宋" w:asciiTheme="minorEastAsia" w:hAnsiTheme="minorEastAsia" w:eastAsiaTheme="minorEastAsia"/>
          <w:snapToGrid w:val="0"/>
          <w:szCs w:val="18"/>
        </w:rPr>
        <w:t>）的（</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）采购活动，服务全部由符合政策要求的中小企业承接。相关企业（含联合体中的中小企业、签订分包意向协议的中小企业）的具体情况如下：</w:t>
      </w:r>
    </w:p>
    <w:p w14:paraId="38AA80E0">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1、（</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4D2A1B42">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34D40138">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w:t>
      </w:r>
    </w:p>
    <w:p w14:paraId="56A5A6F5">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以上企业，不属于大企业的分支机构，不存在控股股东为大企业的情形，也不存在与大企业的负责人为同一人的情形。</w:t>
      </w:r>
    </w:p>
    <w:p w14:paraId="378E965B">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本公司对上述声明的真实性负责。如有虚假，将依法承担相应责任。</w:t>
      </w:r>
    </w:p>
    <w:p w14:paraId="4966BED5">
      <w:pPr>
        <w:spacing w:after="120"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8F0FF59">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企业名称(公章)：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62AD47B1">
      <w:pPr>
        <w:jc w:val="right"/>
        <w:rPr>
          <w:rFonts w:cs="仿宋" w:asciiTheme="minorEastAsia" w:hAnsiTheme="minorEastAsia" w:eastAsiaTheme="minorEastAsia"/>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EE217E9">
      <w:pPr>
        <w:rPr>
          <w:rFonts w:cs="仿宋" w:asciiTheme="minorEastAsia" w:hAnsiTheme="minorEastAsia" w:eastAsiaTheme="minorEastAsia"/>
          <w:snapToGrid w:val="0"/>
          <w:szCs w:val="18"/>
        </w:rPr>
      </w:pPr>
    </w:p>
    <w:p w14:paraId="5422E137">
      <w:pPr>
        <w:spacing w:line="360" w:lineRule="exact"/>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14:paraId="565A5458">
      <w:pPr>
        <w:spacing w:line="360" w:lineRule="exact"/>
        <w:ind w:firstLine="424" w:firstLineChars="202"/>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2、从业人员、营业收入、资产总额填报上一年度数据，无上一年度数据的新成立企业可不填报。</w:t>
      </w:r>
    </w:p>
    <w:p w14:paraId="69D026EF">
      <w:pPr>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5380F0BA">
      <w:pPr>
        <w:widowControl/>
        <w:jc w:val="left"/>
        <w:rPr>
          <w:rFonts w:cs="仿宋" w:asciiTheme="minorEastAsia" w:hAnsiTheme="minorEastAsia" w:eastAsiaTheme="minorEastAsia"/>
          <w:b/>
          <w:sz w:val="32"/>
          <w:szCs w:val="32"/>
        </w:rPr>
      </w:pPr>
    </w:p>
    <w:p w14:paraId="6B75B1AB">
      <w:pPr>
        <w:jc w:val="center"/>
        <w:rPr>
          <w:rFonts w:cs="仿宋" w:asciiTheme="minorEastAsia" w:hAnsiTheme="minorEastAsia" w:eastAsiaTheme="minorEastAsia"/>
          <w:snapToGrid w:val="0"/>
          <w:szCs w:val="18"/>
        </w:rPr>
      </w:pPr>
      <w:r>
        <w:rPr>
          <w:rFonts w:hint="eastAsia" w:cs="仿宋" w:asciiTheme="minorEastAsia" w:hAnsiTheme="minorEastAsia" w:eastAsiaTheme="minorEastAsia"/>
          <w:b/>
          <w:sz w:val="32"/>
          <w:szCs w:val="32"/>
        </w:rPr>
        <w:t>监狱企业声明函</w:t>
      </w:r>
    </w:p>
    <w:p w14:paraId="330C1ED9">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F87B542">
      <w:pPr>
        <w:ind w:firstLine="420" w:firstLineChars="200"/>
        <w:rPr>
          <w:rFonts w:cs="仿宋" w:asciiTheme="minorEastAsia" w:hAnsiTheme="minorEastAsia" w:eastAsiaTheme="minorEastAsia"/>
          <w:snapToGrid w:val="0"/>
          <w:szCs w:val="18"/>
        </w:rPr>
      </w:pPr>
      <w:r>
        <w:rPr>
          <w:rFonts w:hint="eastAsia" w:ascii="宋体" w:hAnsi="宋体"/>
          <w:szCs w:val="21"/>
        </w:rPr>
        <w:t>本单位对上述声明的真实性负责。如有虚假，将依法承担相应责任</w:t>
      </w:r>
      <w:r>
        <w:rPr>
          <w:rFonts w:hint="eastAsia" w:cs="仿宋" w:asciiTheme="minorEastAsia" w:hAnsiTheme="minorEastAsia" w:eastAsiaTheme="minorEastAsia"/>
          <w:snapToGrid w:val="0"/>
          <w:szCs w:val="18"/>
        </w:rPr>
        <w:t>。</w:t>
      </w:r>
    </w:p>
    <w:p w14:paraId="753EDFDE">
      <w:pPr>
        <w:pStyle w:val="20"/>
        <w:ind w:firstLine="210"/>
      </w:pPr>
    </w:p>
    <w:p w14:paraId="46C2DB68">
      <w:pPr>
        <w:spacing w:line="360" w:lineRule="auto"/>
        <w:ind w:firstLine="420" w:firstLineChars="200"/>
        <w:jc w:val="right"/>
        <w:rPr>
          <w:rFonts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0102D286">
      <w:pPr>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68F3E3AF">
      <w:pPr>
        <w:ind w:firstLine="420" w:firstLineChars="200"/>
        <w:rPr>
          <w:rFonts w:cs="仿宋" w:asciiTheme="minorEastAsia" w:hAnsiTheme="minorEastAsia" w:eastAsiaTheme="minorEastAsia"/>
          <w:snapToGrid w:val="0"/>
          <w:szCs w:val="18"/>
        </w:rPr>
      </w:pPr>
    </w:p>
    <w:p w14:paraId="4D4CBFB2">
      <w:pPr>
        <w:ind w:firstLine="422" w:firstLineChars="200"/>
        <w:rPr>
          <w:rFonts w:cs="仿宋" w:asciiTheme="minorEastAsia" w:hAnsiTheme="minorEastAsia" w:eastAsiaTheme="minorEastAsia"/>
          <w:b/>
          <w:snapToGrid w:val="0"/>
          <w:szCs w:val="18"/>
        </w:rPr>
      </w:pPr>
      <w:r>
        <w:rPr>
          <w:rFonts w:hint="eastAsia" w:cs="仿宋" w:asciiTheme="minorEastAsia" w:hAnsiTheme="minorEastAsia" w:eastAsiaTheme="minorEastAsia"/>
          <w:b/>
          <w:snapToGrid w:val="0"/>
          <w:szCs w:val="18"/>
        </w:rPr>
        <w:t>附：省级以上监狱管理局、戒毒管理局（含新疆生产建设兵团）出具的监狱企业证明文件。</w:t>
      </w:r>
    </w:p>
    <w:p w14:paraId="6BEDD537">
      <w:pPr>
        <w:ind w:firstLine="420" w:firstLineChars="200"/>
        <w:rPr>
          <w:rFonts w:cs="仿宋" w:asciiTheme="minorEastAsia" w:hAnsiTheme="minorEastAsia" w:eastAsiaTheme="minorEastAsia"/>
          <w:snapToGrid w:val="0"/>
          <w:szCs w:val="18"/>
        </w:rPr>
      </w:pPr>
    </w:p>
    <w:p w14:paraId="09911492">
      <w:pPr>
        <w:spacing w:line="360" w:lineRule="auto"/>
        <w:ind w:firstLine="422"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907D791">
      <w:pPr>
        <w:widowControl/>
        <w:jc w:val="left"/>
        <w:rPr>
          <w:rFonts w:cs="仿宋" w:asciiTheme="minorEastAsia" w:hAnsiTheme="minorEastAsia" w:eastAsiaTheme="minorEastAsia"/>
          <w:b/>
          <w:sz w:val="32"/>
          <w:szCs w:val="32"/>
        </w:rPr>
      </w:pPr>
    </w:p>
    <w:p w14:paraId="48845238">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残疾人福利性单位声明函</w:t>
      </w:r>
    </w:p>
    <w:p w14:paraId="2D2B62C5">
      <w:pPr>
        <w:spacing w:line="360" w:lineRule="auto"/>
        <w:ind w:firstLine="420" w:firstLineChars="200"/>
        <w:rPr>
          <w:rFonts w:cs="仿宋" w:asciiTheme="minorEastAsia" w:hAnsiTheme="minorEastAsia" w:eastAsiaTheme="minorEastAsia"/>
          <w:snapToGrid w:val="0"/>
          <w:szCs w:val="18"/>
        </w:rPr>
      </w:pPr>
    </w:p>
    <w:p w14:paraId="6F51B98A">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本单位郑重声明，根据《财政部 民政部 中国残疾人联合会关于促进残疾人就业政府采购政策的通知》（财库〔2017〕141号）的规定，本单位为符合条件的残疾人福利性单位，且本单位参加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单位的</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项目采购活动，由本单位提供服务。</w:t>
      </w:r>
    </w:p>
    <w:p w14:paraId="50284DD5">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本单位对上述声明的真实性负责。如有虚假，将依法承担相应责任。</w:t>
      </w:r>
    </w:p>
    <w:p w14:paraId="64F2DE34">
      <w:pPr>
        <w:spacing w:line="360" w:lineRule="auto"/>
        <w:ind w:firstLine="420" w:firstLineChars="200"/>
        <w:rPr>
          <w:rFonts w:cs="仿宋" w:asciiTheme="minorEastAsia" w:hAnsiTheme="minorEastAsia" w:eastAsiaTheme="minorEastAsia"/>
          <w:snapToGrid w:val="0"/>
          <w:szCs w:val="18"/>
        </w:rPr>
      </w:pPr>
    </w:p>
    <w:p w14:paraId="7F87228B">
      <w:pPr>
        <w:spacing w:line="360" w:lineRule="auto"/>
        <w:ind w:firstLine="420" w:firstLineChars="200"/>
        <w:jc w:val="right"/>
        <w:rPr>
          <w:rFonts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24832B5E">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09EC88DA">
      <w:pPr>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 xml:space="preserve">    </w:t>
      </w:r>
    </w:p>
    <w:p w14:paraId="2382D161">
      <w:pPr>
        <w:rPr>
          <w:rFonts w:cs="仿宋" w:asciiTheme="minorEastAsia" w:hAnsiTheme="minorEastAsia" w:eastAsiaTheme="minorEastAsia"/>
          <w:snapToGrid w:val="0"/>
          <w:szCs w:val="18"/>
        </w:rPr>
      </w:pPr>
    </w:p>
    <w:p w14:paraId="6E1EC183">
      <w:pPr>
        <w:spacing w:line="360" w:lineRule="auto"/>
        <w:ind w:firstLine="422" w:firstLineChars="200"/>
        <w:rPr>
          <w:rFonts w:cs="仿宋" w:asciiTheme="minorEastAsia" w:hAnsiTheme="minorEastAsia" w:eastAsiaTheme="minorEastAsia"/>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2CA46A5">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2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5CAD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202F172">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080E8FE5">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4FB55A90">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2FD2140A">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243CD831">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26EB1D1A">
            <w:pPr>
              <w:jc w:val="center"/>
              <w:rPr>
                <w:rFonts w:ascii="Times New Roman" w:hAnsi="Times New Roman"/>
                <w:b/>
                <w:szCs w:val="21"/>
              </w:rPr>
            </w:pPr>
            <w:r>
              <w:rPr>
                <w:rFonts w:hint="eastAsia" w:ascii="Times New Roman" w:hAnsi="Times New Roman"/>
                <w:b/>
                <w:szCs w:val="21"/>
              </w:rPr>
              <w:t>备注</w:t>
            </w:r>
          </w:p>
        </w:tc>
      </w:tr>
      <w:tr w14:paraId="04A7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FA18F96">
            <w:pPr>
              <w:rPr>
                <w:rFonts w:ascii="Times New Roman" w:hAnsi="Times New Roman"/>
                <w:szCs w:val="21"/>
              </w:rPr>
            </w:pPr>
          </w:p>
        </w:tc>
        <w:tc>
          <w:tcPr>
            <w:tcW w:w="1213" w:type="dxa"/>
            <w:vMerge w:val="continue"/>
            <w:vAlign w:val="center"/>
          </w:tcPr>
          <w:p w14:paraId="0008C26F">
            <w:pPr>
              <w:rPr>
                <w:rFonts w:ascii="Times New Roman" w:hAnsi="Times New Roman"/>
                <w:szCs w:val="21"/>
              </w:rPr>
            </w:pPr>
          </w:p>
        </w:tc>
        <w:tc>
          <w:tcPr>
            <w:tcW w:w="1840" w:type="dxa"/>
            <w:vMerge w:val="continue"/>
            <w:vAlign w:val="center"/>
          </w:tcPr>
          <w:p w14:paraId="38361757">
            <w:pPr>
              <w:rPr>
                <w:rFonts w:ascii="Times New Roman" w:hAnsi="Times New Roman"/>
                <w:szCs w:val="21"/>
              </w:rPr>
            </w:pPr>
          </w:p>
        </w:tc>
        <w:tc>
          <w:tcPr>
            <w:tcW w:w="818" w:type="dxa"/>
            <w:vAlign w:val="center"/>
          </w:tcPr>
          <w:p w14:paraId="5B041D69">
            <w:pPr>
              <w:rPr>
                <w:rFonts w:ascii="Times New Roman" w:hAnsi="Times New Roman"/>
                <w:szCs w:val="21"/>
              </w:rPr>
            </w:pPr>
            <w:r>
              <w:rPr>
                <w:rFonts w:hint="eastAsia" w:ascii="Times New Roman" w:hAnsi="Times New Roman"/>
                <w:szCs w:val="21"/>
              </w:rPr>
              <w:t>数量</w:t>
            </w:r>
          </w:p>
        </w:tc>
        <w:tc>
          <w:tcPr>
            <w:tcW w:w="1241" w:type="dxa"/>
            <w:vAlign w:val="center"/>
          </w:tcPr>
          <w:p w14:paraId="37C5DE48">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39B9AC41">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6FF1F924">
            <w:pPr>
              <w:rPr>
                <w:rFonts w:ascii="Times New Roman" w:hAnsi="Times New Roman"/>
                <w:szCs w:val="21"/>
              </w:rPr>
            </w:pPr>
          </w:p>
        </w:tc>
        <w:tc>
          <w:tcPr>
            <w:tcW w:w="720" w:type="dxa"/>
            <w:vMerge w:val="continue"/>
            <w:vAlign w:val="center"/>
          </w:tcPr>
          <w:p w14:paraId="5D582D2F">
            <w:pPr>
              <w:rPr>
                <w:rFonts w:ascii="Times New Roman" w:hAnsi="Times New Roman"/>
                <w:szCs w:val="21"/>
              </w:rPr>
            </w:pPr>
          </w:p>
        </w:tc>
      </w:tr>
      <w:tr w14:paraId="09A7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8611D1D">
            <w:pPr>
              <w:jc w:val="center"/>
              <w:rPr>
                <w:rFonts w:ascii="宋体" w:hAnsi="宋体"/>
                <w:szCs w:val="21"/>
              </w:rPr>
            </w:pPr>
            <w:r>
              <w:rPr>
                <w:rFonts w:hint="eastAsia" w:ascii="宋体" w:hAnsi="宋体"/>
                <w:szCs w:val="21"/>
              </w:rPr>
              <w:t>1</w:t>
            </w:r>
          </w:p>
        </w:tc>
        <w:tc>
          <w:tcPr>
            <w:tcW w:w="1213" w:type="dxa"/>
            <w:vAlign w:val="center"/>
          </w:tcPr>
          <w:p w14:paraId="0AB11509">
            <w:pPr>
              <w:jc w:val="center"/>
              <w:rPr>
                <w:rFonts w:ascii="Times New Roman" w:hAnsi="Times New Roman"/>
                <w:szCs w:val="21"/>
              </w:rPr>
            </w:pPr>
          </w:p>
        </w:tc>
        <w:tc>
          <w:tcPr>
            <w:tcW w:w="1840" w:type="dxa"/>
            <w:vAlign w:val="center"/>
          </w:tcPr>
          <w:p w14:paraId="2697DB89">
            <w:pPr>
              <w:jc w:val="center"/>
              <w:rPr>
                <w:rFonts w:ascii="Times New Roman" w:hAnsi="Times New Roman"/>
                <w:szCs w:val="21"/>
              </w:rPr>
            </w:pPr>
          </w:p>
        </w:tc>
        <w:tc>
          <w:tcPr>
            <w:tcW w:w="818" w:type="dxa"/>
            <w:vAlign w:val="center"/>
          </w:tcPr>
          <w:p w14:paraId="44DBFC89">
            <w:pPr>
              <w:jc w:val="center"/>
              <w:rPr>
                <w:rFonts w:ascii="Times New Roman" w:hAnsi="Times New Roman"/>
                <w:szCs w:val="21"/>
              </w:rPr>
            </w:pPr>
          </w:p>
        </w:tc>
        <w:tc>
          <w:tcPr>
            <w:tcW w:w="1241" w:type="dxa"/>
            <w:vAlign w:val="center"/>
          </w:tcPr>
          <w:p w14:paraId="5427D406">
            <w:pPr>
              <w:jc w:val="center"/>
              <w:rPr>
                <w:rFonts w:ascii="Times New Roman" w:hAnsi="Times New Roman"/>
                <w:szCs w:val="21"/>
              </w:rPr>
            </w:pPr>
          </w:p>
        </w:tc>
        <w:tc>
          <w:tcPr>
            <w:tcW w:w="2292" w:type="dxa"/>
            <w:vAlign w:val="center"/>
          </w:tcPr>
          <w:p w14:paraId="2DC4E5D8">
            <w:pPr>
              <w:jc w:val="center"/>
              <w:rPr>
                <w:rFonts w:ascii="Times New Roman" w:hAnsi="Times New Roman"/>
                <w:szCs w:val="21"/>
              </w:rPr>
            </w:pPr>
          </w:p>
        </w:tc>
        <w:tc>
          <w:tcPr>
            <w:tcW w:w="1503" w:type="dxa"/>
            <w:vAlign w:val="center"/>
          </w:tcPr>
          <w:p w14:paraId="79AC7D89">
            <w:pPr>
              <w:jc w:val="center"/>
              <w:rPr>
                <w:rFonts w:ascii="Times New Roman" w:hAnsi="Times New Roman"/>
                <w:szCs w:val="21"/>
              </w:rPr>
            </w:pPr>
          </w:p>
        </w:tc>
        <w:tc>
          <w:tcPr>
            <w:tcW w:w="720" w:type="dxa"/>
            <w:vAlign w:val="center"/>
          </w:tcPr>
          <w:p w14:paraId="7B5F455E">
            <w:pPr>
              <w:jc w:val="center"/>
              <w:rPr>
                <w:rFonts w:ascii="Times New Roman" w:hAnsi="Times New Roman"/>
                <w:szCs w:val="21"/>
              </w:rPr>
            </w:pPr>
          </w:p>
        </w:tc>
      </w:tr>
      <w:tr w14:paraId="09BE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F124DF1">
            <w:pPr>
              <w:jc w:val="center"/>
              <w:rPr>
                <w:rFonts w:ascii="宋体" w:hAnsi="宋体"/>
                <w:szCs w:val="21"/>
              </w:rPr>
            </w:pPr>
            <w:r>
              <w:rPr>
                <w:rFonts w:hint="eastAsia" w:ascii="宋体" w:hAnsi="宋体"/>
                <w:szCs w:val="21"/>
              </w:rPr>
              <w:t>2</w:t>
            </w:r>
          </w:p>
        </w:tc>
        <w:tc>
          <w:tcPr>
            <w:tcW w:w="1213" w:type="dxa"/>
            <w:vAlign w:val="center"/>
          </w:tcPr>
          <w:p w14:paraId="00B17FA3">
            <w:pPr>
              <w:jc w:val="center"/>
              <w:rPr>
                <w:rFonts w:ascii="Times New Roman" w:hAnsi="Times New Roman"/>
                <w:szCs w:val="21"/>
              </w:rPr>
            </w:pPr>
          </w:p>
        </w:tc>
        <w:tc>
          <w:tcPr>
            <w:tcW w:w="1840" w:type="dxa"/>
            <w:vAlign w:val="center"/>
          </w:tcPr>
          <w:p w14:paraId="1939E001">
            <w:pPr>
              <w:jc w:val="center"/>
              <w:rPr>
                <w:rFonts w:ascii="Times New Roman" w:hAnsi="Times New Roman"/>
                <w:szCs w:val="21"/>
              </w:rPr>
            </w:pPr>
          </w:p>
        </w:tc>
        <w:tc>
          <w:tcPr>
            <w:tcW w:w="818" w:type="dxa"/>
            <w:vAlign w:val="center"/>
          </w:tcPr>
          <w:p w14:paraId="69C09B85">
            <w:pPr>
              <w:jc w:val="center"/>
              <w:rPr>
                <w:rFonts w:ascii="Times New Roman" w:hAnsi="Times New Roman"/>
                <w:szCs w:val="21"/>
              </w:rPr>
            </w:pPr>
          </w:p>
        </w:tc>
        <w:tc>
          <w:tcPr>
            <w:tcW w:w="1241" w:type="dxa"/>
            <w:vAlign w:val="center"/>
          </w:tcPr>
          <w:p w14:paraId="0C630D2E">
            <w:pPr>
              <w:jc w:val="center"/>
              <w:rPr>
                <w:rFonts w:ascii="Times New Roman" w:hAnsi="Times New Roman"/>
                <w:szCs w:val="21"/>
              </w:rPr>
            </w:pPr>
          </w:p>
        </w:tc>
        <w:tc>
          <w:tcPr>
            <w:tcW w:w="2292" w:type="dxa"/>
            <w:vAlign w:val="center"/>
          </w:tcPr>
          <w:p w14:paraId="0E276845">
            <w:pPr>
              <w:jc w:val="center"/>
              <w:rPr>
                <w:rFonts w:ascii="Times New Roman" w:hAnsi="Times New Roman"/>
                <w:szCs w:val="21"/>
              </w:rPr>
            </w:pPr>
          </w:p>
        </w:tc>
        <w:tc>
          <w:tcPr>
            <w:tcW w:w="1503" w:type="dxa"/>
            <w:vAlign w:val="center"/>
          </w:tcPr>
          <w:p w14:paraId="0AD19934">
            <w:pPr>
              <w:jc w:val="center"/>
              <w:rPr>
                <w:rFonts w:ascii="Times New Roman" w:hAnsi="Times New Roman"/>
                <w:szCs w:val="21"/>
              </w:rPr>
            </w:pPr>
          </w:p>
        </w:tc>
        <w:tc>
          <w:tcPr>
            <w:tcW w:w="720" w:type="dxa"/>
            <w:vAlign w:val="center"/>
          </w:tcPr>
          <w:p w14:paraId="5D680ED7">
            <w:pPr>
              <w:jc w:val="center"/>
              <w:rPr>
                <w:rFonts w:ascii="Times New Roman" w:hAnsi="Times New Roman"/>
                <w:szCs w:val="21"/>
              </w:rPr>
            </w:pPr>
          </w:p>
        </w:tc>
      </w:tr>
    </w:tbl>
    <w:p w14:paraId="04981DA9">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投标产品，投标供应商须提供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提供以上证明材料的扫描件或复印件加盖投标供应商公章，提供的证书若存在不齐全、已过有效期或其他未被评标委员会接受的瑕疵将不予认可。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49DDA6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34C6CD3">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r>
        <w:rPr>
          <w:rFonts w:cs="仿宋" w:asciiTheme="minorEastAsia" w:hAnsiTheme="minorEastAsia" w:eastAsiaTheme="minorEastAsia"/>
          <w:b/>
          <w:sz w:val="32"/>
          <w:szCs w:val="32"/>
        </w:rPr>
        <w:br w:type="page"/>
      </w:r>
    </w:p>
    <w:p w14:paraId="3BAC19C3">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14:paraId="5A24A744">
      <w:pPr>
        <w:rPr>
          <w:rFonts w:cs="仿宋" w:asciiTheme="minorEastAsia" w:hAnsiTheme="minorEastAsia" w:eastAsiaTheme="minorEastAsia"/>
        </w:rPr>
      </w:pPr>
    </w:p>
    <w:p w14:paraId="07C78F39">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40CF584C">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3"/>
        <w:tblW w:w="8519"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11"/>
        <w:gridCol w:w="3775"/>
        <w:gridCol w:w="1533"/>
      </w:tblGrid>
      <w:tr w14:paraId="7FD1E8E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11" w:type="dxa"/>
            <w:shd w:val="clear" w:color="auto" w:fill="C6D9F0" w:themeFill="text2" w:themeFillTint="33"/>
            <w:vAlign w:val="center"/>
          </w:tcPr>
          <w:p w14:paraId="67BA34CC">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3775" w:type="dxa"/>
            <w:shd w:val="clear" w:color="auto" w:fill="C6D9F0" w:themeFill="text2" w:themeFillTint="33"/>
            <w:vAlign w:val="center"/>
          </w:tcPr>
          <w:p w14:paraId="0DED4C08">
            <w:pPr>
              <w:jc w:val="center"/>
              <w:rPr>
                <w:rFonts w:hint="eastAsia" w:cs="仿宋" w:asciiTheme="minorEastAsia" w:hAnsiTheme="minorEastAsia" w:eastAsiaTheme="minorEastAsia"/>
                <w:b/>
                <w:lang w:eastAsia="zh-CN"/>
              </w:rPr>
            </w:pPr>
            <w:r>
              <w:rPr>
                <w:rFonts w:hint="eastAsia" w:cs="仿宋" w:asciiTheme="minorEastAsia" w:hAnsiTheme="minorEastAsia" w:eastAsiaTheme="minorEastAsia"/>
                <w:b/>
                <w:lang w:val="en-US" w:eastAsia="zh-CN"/>
              </w:rPr>
              <w:t>投标报价（折扣率）</w:t>
            </w:r>
          </w:p>
        </w:tc>
        <w:tc>
          <w:tcPr>
            <w:tcW w:w="1533" w:type="dxa"/>
            <w:shd w:val="clear" w:color="auto" w:fill="C6D9F0" w:themeFill="text2" w:themeFillTint="33"/>
            <w:vAlign w:val="center"/>
          </w:tcPr>
          <w:p w14:paraId="4E57F8DA">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14:paraId="6AA0686E">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211" w:type="dxa"/>
            <w:vAlign w:val="center"/>
          </w:tcPr>
          <w:p w14:paraId="69F15891">
            <w:pPr>
              <w:spacing w:line="360" w:lineRule="auto"/>
              <w:jc w:val="center"/>
              <w:rPr>
                <w:rFonts w:hint="eastAsia" w:cs="仿宋" w:asciiTheme="minorEastAsia" w:hAnsiTheme="minorEastAsia" w:eastAsiaTheme="minorEastAsia"/>
                <w:lang w:eastAsia="zh-CN"/>
              </w:rPr>
            </w:pPr>
            <w:r>
              <w:rPr>
                <w:rFonts w:hint="eastAsia" w:cs="仿宋" w:asciiTheme="minorEastAsia" w:hAnsiTheme="minorEastAsia" w:eastAsiaTheme="minorEastAsia"/>
                <w:lang w:eastAsia="zh-CN"/>
              </w:rPr>
              <w:t>治安支队综合食材配送服务项目（追加）</w:t>
            </w:r>
          </w:p>
        </w:tc>
        <w:tc>
          <w:tcPr>
            <w:tcW w:w="3775" w:type="dxa"/>
            <w:vAlign w:val="center"/>
          </w:tcPr>
          <w:p w14:paraId="4BF153A5">
            <w:pPr>
              <w:spacing w:line="360" w:lineRule="auto"/>
              <w:ind w:firstLine="210" w:firstLineChars="100"/>
              <w:jc w:val="center"/>
              <w:rPr>
                <w:rFonts w:cs="仿宋" w:asciiTheme="minorEastAsia" w:hAnsiTheme="minorEastAsia" w:eastAsiaTheme="minorEastAsia"/>
                <w:u w:val="single"/>
              </w:rPr>
            </w:pPr>
          </w:p>
        </w:tc>
        <w:tc>
          <w:tcPr>
            <w:tcW w:w="1533" w:type="dxa"/>
            <w:vAlign w:val="center"/>
          </w:tcPr>
          <w:p w14:paraId="26CD04FC">
            <w:pPr>
              <w:spacing w:line="360" w:lineRule="auto"/>
              <w:jc w:val="center"/>
              <w:rPr>
                <w:rFonts w:cs="仿宋" w:asciiTheme="minorEastAsia" w:hAnsiTheme="minorEastAsia" w:eastAsiaTheme="minorEastAsia"/>
              </w:rPr>
            </w:pPr>
          </w:p>
        </w:tc>
      </w:tr>
    </w:tbl>
    <w:p w14:paraId="7F35DCD0">
      <w:pPr>
        <w:spacing w:line="360" w:lineRule="auto"/>
        <w:rPr>
          <w:rFonts w:cs="仿宋" w:asciiTheme="minorEastAsia" w:hAnsiTheme="minorEastAsia" w:eastAsiaTheme="minorEastAsia"/>
        </w:rPr>
      </w:pPr>
    </w:p>
    <w:p w14:paraId="7FEAAB42">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26EC84E4">
      <w:pPr>
        <w:spacing w:line="360" w:lineRule="auto"/>
        <w:rPr>
          <w:rFonts w:cs="仿宋" w:asciiTheme="minorEastAsia" w:hAnsiTheme="minorEastAsia" w:eastAsiaTheme="minorEastAsia"/>
        </w:rPr>
      </w:pPr>
    </w:p>
    <w:p w14:paraId="06E30C18">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22A97924">
      <w:pPr>
        <w:spacing w:line="360" w:lineRule="auto"/>
        <w:ind w:firstLine="630"/>
        <w:rPr>
          <w:rFonts w:cs="仿宋" w:asciiTheme="minorEastAsia" w:hAnsiTheme="minorEastAsia" w:eastAsiaTheme="minorEastAsia"/>
        </w:rPr>
      </w:pPr>
    </w:p>
    <w:p w14:paraId="10D7B051">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31FEEEE1">
      <w:pPr>
        <w:jc w:val="left"/>
        <w:rPr>
          <w:rFonts w:cs="仿宋" w:asciiTheme="minorEastAsia" w:hAnsiTheme="minorEastAsia" w:eastAsiaTheme="minorEastAsia"/>
        </w:rPr>
      </w:pPr>
    </w:p>
    <w:p w14:paraId="51B6C881">
      <w:pPr>
        <w:jc w:val="left"/>
        <w:rPr>
          <w:rFonts w:cs="仿宋" w:asciiTheme="minorEastAsia" w:hAnsiTheme="minorEastAsia" w:eastAsiaTheme="minorEastAsia"/>
        </w:rPr>
      </w:pPr>
    </w:p>
    <w:p w14:paraId="12898CF4">
      <w:pPr>
        <w:jc w:val="left"/>
        <w:rPr>
          <w:rFonts w:cs="仿宋" w:asciiTheme="minorEastAsia" w:hAnsiTheme="minorEastAsia" w:eastAsiaTheme="minorEastAsia"/>
        </w:rPr>
      </w:pPr>
    </w:p>
    <w:p w14:paraId="5EFAA6EC">
      <w:pPr>
        <w:jc w:val="left"/>
        <w:rPr>
          <w:rFonts w:cs="仿宋" w:asciiTheme="minorEastAsia" w:hAnsiTheme="minorEastAsia" w:eastAsiaTheme="minorEastAsia"/>
        </w:rPr>
      </w:pPr>
    </w:p>
    <w:p w14:paraId="0D295A35">
      <w:pPr>
        <w:ind w:firstLine="422" w:firstLineChars="200"/>
        <w:jc w:val="left"/>
        <w:rPr>
          <w:rFonts w:hint="eastAsia" w:cs="仿宋" w:asciiTheme="minorEastAsia" w:hAnsiTheme="minorEastAsia" w:eastAsiaTheme="minorEastAsia"/>
        </w:rPr>
      </w:pPr>
      <w:r>
        <w:rPr>
          <w:rFonts w:hint="eastAsia" w:cs="仿宋" w:asciiTheme="minorEastAsia" w:hAnsiTheme="minorEastAsia" w:eastAsiaTheme="minorEastAsia"/>
          <w:b/>
          <w:color w:val="FF0000"/>
        </w:rPr>
        <w:t>注：</w:t>
      </w:r>
      <w:r>
        <w:rPr>
          <w:rFonts w:hint="eastAsia" w:cs="仿宋" w:asciiTheme="minorEastAsia" w:hAnsiTheme="minorEastAsia" w:eastAsiaTheme="minorEastAsia"/>
        </w:rPr>
        <w:t>1</w:t>
      </w:r>
      <w:r>
        <w:rPr>
          <w:rFonts w:hint="eastAsia" w:cs="仿宋" w:asciiTheme="minorEastAsia" w:hAnsiTheme="minorEastAsia" w:eastAsiaTheme="minorEastAsia"/>
          <w:lang w:eastAsia="zh-CN"/>
        </w:rPr>
        <w:t>、</w:t>
      </w:r>
      <w:r>
        <w:rPr>
          <w:rFonts w:hint="eastAsia" w:cs="仿宋" w:asciiTheme="minorEastAsia" w:hAnsiTheme="minorEastAsia" w:eastAsiaTheme="minorEastAsia"/>
        </w:rPr>
        <w:t>填写要求：0＜折扣率≤1，未按此要求填写将作废标处理。</w:t>
      </w:r>
    </w:p>
    <w:p w14:paraId="23626F96">
      <w:pPr>
        <w:ind w:firstLine="420" w:firstLineChars="200"/>
        <w:jc w:val="left"/>
        <w:rPr>
          <w:rFonts w:hint="eastAsia" w:cs="仿宋" w:asciiTheme="minorEastAsia" w:hAnsiTheme="minorEastAsia" w:eastAsiaTheme="minorEastAsia"/>
        </w:rPr>
      </w:pP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填写的“折扣率”应为小数，（如：0.90、0.80、0.78，保留小数点后两位）；</w:t>
      </w:r>
    </w:p>
    <w:p w14:paraId="3132865E">
      <w:pPr>
        <w:ind w:firstLine="420" w:firstLineChars="200"/>
        <w:jc w:val="left"/>
        <w:rPr>
          <w:rFonts w:hint="eastAsia" w:cs="仿宋" w:asciiTheme="minorEastAsia" w:hAnsiTheme="minorEastAsia" w:eastAsiaTheme="minorEastAsia"/>
        </w:rPr>
      </w:pPr>
      <w:r>
        <w:rPr>
          <w:rFonts w:hint="eastAsia" w:cs="仿宋" w:asciiTheme="minorEastAsia" w:hAnsiTheme="minorEastAsia" w:eastAsiaTheme="minorEastAsia"/>
          <w:lang w:val="en-US" w:eastAsia="zh-CN"/>
        </w:rPr>
        <w:t>3、</w:t>
      </w:r>
      <w:r>
        <w:rPr>
          <w:rFonts w:hint="eastAsia" w:cs="仿宋" w:asciiTheme="minorEastAsia" w:hAnsiTheme="minorEastAsia" w:eastAsiaTheme="minorEastAsia"/>
        </w:rPr>
        <w:t>投标</w:t>
      </w:r>
      <w:r>
        <w:rPr>
          <w:rFonts w:hint="eastAsia" w:cs="仿宋" w:asciiTheme="minorEastAsia" w:hAnsiTheme="minorEastAsia" w:eastAsiaTheme="minorEastAsia"/>
          <w:lang w:val="en-US" w:eastAsia="zh-CN"/>
        </w:rPr>
        <w:t>供应商</w:t>
      </w:r>
      <w:r>
        <w:rPr>
          <w:rFonts w:hint="eastAsia" w:cs="仿宋" w:asciiTheme="minorEastAsia" w:hAnsiTheme="minorEastAsia" w:eastAsiaTheme="minorEastAsia"/>
        </w:rPr>
        <w:t>参与投标只允许填报一个“折扣率”，不允许填报2个（或以上）的“折扣率”；填报了2个或以上“折扣率”的，其投标将直接作投标无效处理；</w:t>
      </w:r>
    </w:p>
    <w:p w14:paraId="53FDA99E">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lang w:val="en-US" w:eastAsia="zh-CN"/>
        </w:rPr>
        <w:t>4、</w:t>
      </w:r>
      <w:r>
        <w:rPr>
          <w:rFonts w:hint="eastAsia" w:cs="仿宋" w:asciiTheme="minorEastAsia" w:hAnsiTheme="minorEastAsia" w:eastAsiaTheme="minorEastAsia"/>
        </w:rPr>
        <w:t>“折扣率”缺填、漏填将直接作投标无效处理。</w:t>
      </w:r>
    </w:p>
    <w:p w14:paraId="514C35A2">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lang w:val="en-US" w:eastAsia="zh-CN"/>
        </w:rPr>
        <w:t>5</w:t>
      </w:r>
      <w:r>
        <w:rPr>
          <w:rFonts w:hint="eastAsia" w:cs="仿宋" w:asciiTheme="minorEastAsia" w:hAnsiTheme="minorEastAsia" w:eastAsiaTheme="minorEastAsia"/>
        </w:rPr>
        <w:t>、此表应经法定代表人或其授权委托人签名，并加盖投标供应商公章。</w:t>
      </w:r>
    </w:p>
    <w:p w14:paraId="21525D63">
      <w:pPr>
        <w:ind w:firstLine="424" w:firstLineChars="176"/>
        <w:jc w:val="lef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lang w:val="en-US" w:eastAsia="zh-CN"/>
        </w:rPr>
        <w:t>6</w:t>
      </w:r>
      <w:r>
        <w:rPr>
          <w:rFonts w:cs="仿宋" w:asciiTheme="minorEastAsia" w:hAnsiTheme="minorEastAsia" w:eastAsiaTheme="minorEastAsia"/>
          <w:b/>
          <w:sz w:val="24"/>
          <w:szCs w:val="24"/>
        </w:rPr>
        <w:t>、此表毋需装订于正副本内，应按“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p>
    <w:p w14:paraId="1AA56F8B">
      <w:pPr>
        <w:ind w:firstLine="413" w:firstLineChars="196"/>
        <w:jc w:val="left"/>
        <w:rPr>
          <w:rFonts w:cs="仿宋" w:asciiTheme="minorEastAsia" w:hAnsiTheme="minorEastAsia" w:eastAsiaTheme="minorEastAsia"/>
          <w:b/>
        </w:rPr>
      </w:pPr>
    </w:p>
    <w:p w14:paraId="0E8C146B">
      <w:pPr>
        <w:rPr>
          <w:rFonts w:cs="仿宋" w:asciiTheme="minorEastAsia" w:hAnsiTheme="minorEastAsia" w:eastAsiaTheme="minorEastAsia"/>
        </w:rPr>
      </w:pPr>
    </w:p>
    <w:p w14:paraId="34B31FF9">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A150049">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14:paraId="00582E3C">
      <w:pPr>
        <w:rPr>
          <w:rFonts w:cs="仿宋" w:asciiTheme="minorEastAsia" w:hAnsiTheme="minorEastAsia" w:eastAsiaTheme="minorEastAsia"/>
        </w:rPr>
      </w:pPr>
    </w:p>
    <w:p w14:paraId="4F142618">
      <w:pPr>
        <w:spacing w:line="360" w:lineRule="auto"/>
        <w:rPr>
          <w:rFonts w:cs="仿宋" w:asciiTheme="minorEastAsia" w:hAnsiTheme="minorEastAsia" w:eastAsiaTheme="minorEastAsia"/>
        </w:rPr>
      </w:pPr>
      <w:r>
        <w:rPr>
          <w:rFonts w:hint="eastAsia" w:cs="仿宋" w:asciiTheme="minorEastAsia" w:hAnsiTheme="minorEastAsia" w:eastAsiaTheme="minorEastAsia"/>
        </w:rPr>
        <w:t>一、报价要求</w:t>
      </w:r>
    </w:p>
    <w:p w14:paraId="015E2D21">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14:paraId="61CBFF24">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2、此表应经法定代表人或授权委托人签名，并加盖公章。</w:t>
      </w:r>
    </w:p>
    <w:p w14:paraId="53A337E9">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14:paraId="59CFEA81">
      <w:pPr>
        <w:spacing w:line="360" w:lineRule="auto"/>
        <w:ind w:firstLine="420" w:firstLineChars="200"/>
        <w:rPr>
          <w:rFonts w:cs="仿宋" w:asciiTheme="minorEastAsia" w:hAnsiTheme="minorEastAsia" w:eastAsiaTheme="minorEastAsia"/>
        </w:rPr>
      </w:pPr>
    </w:p>
    <w:p w14:paraId="3CDC0342">
      <w:pPr>
        <w:spacing w:line="360" w:lineRule="auto"/>
        <w:ind w:firstLine="643" w:firstLineChars="20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报价表</w:t>
      </w:r>
    </w:p>
    <w:p w14:paraId="62A97636">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14:paraId="2ACC870D">
      <w:pPr>
        <w:spacing w:line="360" w:lineRule="auto"/>
        <w:rPr>
          <w:rFonts w:cs="仿宋" w:asciiTheme="minorEastAsia" w:hAnsiTheme="minorEastAsia" w:eastAsiaTheme="minorEastAsia"/>
        </w:rPr>
      </w:pPr>
      <w:r>
        <w:rPr>
          <w:rFonts w:hint="eastAsia" w:cs="仿宋" w:asciiTheme="minorEastAsia" w:hAnsiTheme="minorEastAsia" w:eastAsiaTheme="minorEastAsia"/>
        </w:rPr>
        <w:t>项目编号：</w:t>
      </w:r>
    </w:p>
    <w:tbl>
      <w:tblPr>
        <w:tblStyle w:val="22"/>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14:paraId="4A617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37D7CB93">
            <w:pPr>
              <w:adjustRightInd w:val="0"/>
              <w:snapToGrid w:val="0"/>
              <w:spacing w:line="300" w:lineRule="auto"/>
              <w:jc w:val="center"/>
              <w:rPr>
                <w:b/>
                <w:snapToGrid w:val="0"/>
                <w:kern w:val="0"/>
              </w:rPr>
            </w:pPr>
            <w:r>
              <w:rPr>
                <w:b/>
                <w:snapToGrid w:val="0"/>
                <w:kern w:val="0"/>
              </w:rPr>
              <w:t>序号</w:t>
            </w:r>
          </w:p>
        </w:tc>
        <w:tc>
          <w:tcPr>
            <w:tcW w:w="3249" w:type="dxa"/>
            <w:vAlign w:val="center"/>
          </w:tcPr>
          <w:p w14:paraId="65F23497">
            <w:pPr>
              <w:adjustRightInd w:val="0"/>
              <w:snapToGrid w:val="0"/>
              <w:spacing w:line="300" w:lineRule="auto"/>
              <w:jc w:val="center"/>
              <w:rPr>
                <w:b/>
                <w:snapToGrid w:val="0"/>
                <w:kern w:val="0"/>
              </w:rPr>
            </w:pPr>
            <w:r>
              <w:rPr>
                <w:rFonts w:hint="eastAsia"/>
                <w:b/>
                <w:snapToGrid w:val="0"/>
                <w:kern w:val="0"/>
              </w:rPr>
              <w:t>项目内容</w:t>
            </w:r>
          </w:p>
        </w:tc>
        <w:tc>
          <w:tcPr>
            <w:tcW w:w="2835" w:type="dxa"/>
            <w:vAlign w:val="center"/>
          </w:tcPr>
          <w:p w14:paraId="1CDDBCDD">
            <w:pPr>
              <w:adjustRightInd w:val="0"/>
              <w:snapToGrid w:val="0"/>
              <w:spacing w:line="300" w:lineRule="auto"/>
              <w:jc w:val="center"/>
              <w:rPr>
                <w:rFonts w:hint="eastAsia" w:eastAsia="宋体"/>
                <w:b/>
                <w:snapToGrid w:val="0"/>
                <w:kern w:val="0"/>
                <w:lang w:eastAsia="zh-CN"/>
              </w:rPr>
            </w:pPr>
            <w:r>
              <w:rPr>
                <w:rFonts w:hint="eastAsia"/>
                <w:b/>
                <w:snapToGrid w:val="0"/>
                <w:kern w:val="0"/>
                <w:lang w:eastAsia="zh-CN"/>
              </w:rPr>
              <w:t>投标报价（</w:t>
            </w:r>
            <w:r>
              <w:rPr>
                <w:rFonts w:hint="eastAsia"/>
                <w:b/>
                <w:snapToGrid w:val="0"/>
                <w:kern w:val="0"/>
              </w:rPr>
              <w:t>折扣率</w:t>
            </w:r>
            <w:r>
              <w:rPr>
                <w:rFonts w:hint="eastAsia"/>
                <w:b/>
                <w:snapToGrid w:val="0"/>
                <w:kern w:val="0"/>
                <w:lang w:eastAsia="zh-CN"/>
              </w:rPr>
              <w:t>）</w:t>
            </w:r>
          </w:p>
        </w:tc>
        <w:tc>
          <w:tcPr>
            <w:tcW w:w="2376" w:type="dxa"/>
            <w:vAlign w:val="center"/>
          </w:tcPr>
          <w:p w14:paraId="3C78312D">
            <w:pPr>
              <w:adjustRightInd w:val="0"/>
              <w:snapToGrid w:val="0"/>
              <w:spacing w:line="300" w:lineRule="auto"/>
              <w:jc w:val="center"/>
              <w:rPr>
                <w:b/>
                <w:snapToGrid w:val="0"/>
                <w:kern w:val="0"/>
              </w:rPr>
            </w:pPr>
            <w:r>
              <w:rPr>
                <w:rFonts w:hint="eastAsia"/>
                <w:b/>
                <w:snapToGrid w:val="0"/>
                <w:kern w:val="0"/>
              </w:rPr>
              <w:t>备注</w:t>
            </w:r>
          </w:p>
        </w:tc>
      </w:tr>
      <w:tr w14:paraId="7B11F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vAlign w:val="center"/>
          </w:tcPr>
          <w:p w14:paraId="4EB90ACF">
            <w:pPr>
              <w:adjustRightInd w:val="0"/>
              <w:snapToGrid w:val="0"/>
              <w:spacing w:line="300" w:lineRule="auto"/>
              <w:jc w:val="center"/>
              <w:rPr>
                <w:snapToGrid w:val="0"/>
                <w:kern w:val="0"/>
              </w:rPr>
            </w:pPr>
            <w:r>
              <w:rPr>
                <w:snapToGrid w:val="0"/>
                <w:kern w:val="0"/>
              </w:rPr>
              <w:t>1</w:t>
            </w:r>
          </w:p>
        </w:tc>
        <w:tc>
          <w:tcPr>
            <w:tcW w:w="3249" w:type="dxa"/>
            <w:vAlign w:val="center"/>
          </w:tcPr>
          <w:p w14:paraId="79D1FCA0">
            <w:pPr>
              <w:adjustRightInd w:val="0"/>
              <w:snapToGrid w:val="0"/>
              <w:spacing w:line="300" w:lineRule="auto"/>
              <w:rPr>
                <w:snapToGrid w:val="0"/>
                <w:kern w:val="0"/>
              </w:rPr>
            </w:pPr>
          </w:p>
        </w:tc>
        <w:tc>
          <w:tcPr>
            <w:tcW w:w="2835" w:type="dxa"/>
            <w:vAlign w:val="center"/>
          </w:tcPr>
          <w:p w14:paraId="3404986D">
            <w:pPr>
              <w:adjustRightInd w:val="0"/>
              <w:snapToGrid w:val="0"/>
              <w:spacing w:line="300" w:lineRule="auto"/>
              <w:jc w:val="center"/>
              <w:rPr>
                <w:snapToGrid w:val="0"/>
                <w:kern w:val="0"/>
              </w:rPr>
            </w:pPr>
          </w:p>
        </w:tc>
        <w:tc>
          <w:tcPr>
            <w:tcW w:w="2376" w:type="dxa"/>
            <w:vAlign w:val="center"/>
          </w:tcPr>
          <w:p w14:paraId="3AFDE6E0">
            <w:pPr>
              <w:adjustRightInd w:val="0"/>
              <w:snapToGrid w:val="0"/>
              <w:spacing w:line="300" w:lineRule="auto"/>
              <w:jc w:val="center"/>
              <w:rPr>
                <w:snapToGrid w:val="0"/>
                <w:kern w:val="0"/>
              </w:rPr>
            </w:pPr>
          </w:p>
        </w:tc>
      </w:tr>
    </w:tbl>
    <w:p w14:paraId="0C4409D0">
      <w:pPr>
        <w:tabs>
          <w:tab w:val="left" w:pos="765"/>
        </w:tabs>
        <w:spacing w:line="376" w:lineRule="auto"/>
        <w:outlineLvl w:val="3"/>
        <w:rPr>
          <w:rFonts w:ascii="宋体" w:hAnsi="宋体"/>
          <w:bCs/>
          <w:kern w:val="0"/>
          <w:szCs w:val="21"/>
        </w:rPr>
      </w:pPr>
      <w:r>
        <w:rPr>
          <w:rFonts w:hint="eastAsia" w:ascii="宋体" w:hAnsi="宋体"/>
          <w:bCs/>
          <w:kern w:val="0"/>
          <w:szCs w:val="21"/>
        </w:rPr>
        <w:t>注：开标一览表的折扣率必须与以上</w:t>
      </w:r>
      <w:r>
        <w:rPr>
          <w:rFonts w:hint="eastAsia" w:ascii="宋体" w:hAnsi="宋体"/>
          <w:bCs/>
          <w:kern w:val="0"/>
          <w:szCs w:val="21"/>
          <w:lang w:val="en-US" w:eastAsia="zh-CN"/>
        </w:rPr>
        <w:t>报价表</w:t>
      </w:r>
      <w:r>
        <w:rPr>
          <w:rFonts w:hint="eastAsia" w:ascii="宋体" w:hAnsi="宋体"/>
          <w:bCs/>
          <w:kern w:val="0"/>
          <w:szCs w:val="21"/>
        </w:rPr>
        <w:t>的折扣率一致。</w:t>
      </w:r>
    </w:p>
    <w:p w14:paraId="5B6F0864">
      <w:pPr>
        <w:pStyle w:val="21"/>
        <w:rPr>
          <w:rFonts w:asciiTheme="minorEastAsia" w:hAnsiTheme="minorEastAsia" w:eastAsiaTheme="minorEastAsia"/>
        </w:rPr>
      </w:pPr>
    </w:p>
    <w:p w14:paraId="5629FB17">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6722C350">
      <w:pPr>
        <w:spacing w:line="360" w:lineRule="auto"/>
        <w:rPr>
          <w:rFonts w:cs="仿宋" w:asciiTheme="minorEastAsia" w:hAnsiTheme="minorEastAsia" w:eastAsiaTheme="minorEastAsia"/>
        </w:rPr>
      </w:pPr>
    </w:p>
    <w:p w14:paraId="0B7BAD64">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49DD08FE">
      <w:pPr>
        <w:spacing w:line="360" w:lineRule="auto"/>
        <w:ind w:firstLine="630"/>
        <w:rPr>
          <w:rFonts w:cs="仿宋" w:asciiTheme="minorEastAsia" w:hAnsiTheme="minorEastAsia" w:eastAsiaTheme="minorEastAsia"/>
        </w:rPr>
      </w:pPr>
    </w:p>
    <w:p w14:paraId="488DA663">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B27914F">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5A376C5E">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服务方案</w:t>
      </w:r>
    </w:p>
    <w:p w14:paraId="7562C7EB">
      <w:pPr>
        <w:rPr>
          <w:rFonts w:cs="仿宋" w:asciiTheme="minorEastAsia" w:hAnsiTheme="minorEastAsia" w:eastAsiaTheme="minorEastAsia"/>
          <w:highlight w:val="yellow"/>
        </w:rPr>
      </w:pPr>
    </w:p>
    <w:p w14:paraId="328371DA">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1、实施方案</w:t>
      </w:r>
    </w:p>
    <w:p w14:paraId="3FAC114D">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2、</w:t>
      </w:r>
      <w:r>
        <w:rPr>
          <w:rFonts w:hint="eastAsia" w:cs="仿宋" w:asciiTheme="minorEastAsia" w:hAnsiTheme="minorEastAsia" w:eastAsiaTheme="minorEastAsia"/>
          <w:sz w:val="22"/>
        </w:rPr>
        <w:t>项目重点难点分析、应对措施及相关的合理化建议</w:t>
      </w:r>
    </w:p>
    <w:p w14:paraId="7875DBDF">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3、</w:t>
      </w:r>
      <w:r>
        <w:rPr>
          <w:rFonts w:hint="eastAsia" w:cs="仿宋" w:asciiTheme="minorEastAsia" w:hAnsiTheme="minorEastAsia" w:eastAsiaTheme="minorEastAsia"/>
          <w:sz w:val="22"/>
        </w:rPr>
        <w:t>食品检测保障能力</w:t>
      </w:r>
    </w:p>
    <w:p w14:paraId="74F3FADC">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4、</w:t>
      </w:r>
      <w:r>
        <w:rPr>
          <w:rFonts w:hint="eastAsia" w:cs="仿宋" w:asciiTheme="minorEastAsia" w:hAnsiTheme="minorEastAsia" w:eastAsiaTheme="minorEastAsia"/>
          <w:sz w:val="22"/>
        </w:rPr>
        <w:t>食品安全保险购置情况</w:t>
      </w:r>
    </w:p>
    <w:p w14:paraId="06DBE6B6">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5、</w:t>
      </w:r>
      <w:r>
        <w:rPr>
          <w:rFonts w:hint="eastAsia" w:cs="仿宋" w:asciiTheme="minorEastAsia" w:hAnsiTheme="minorEastAsia" w:eastAsiaTheme="minorEastAsia"/>
          <w:sz w:val="22"/>
        </w:rPr>
        <w:t>项目完成（服务期满）后的服务承诺</w:t>
      </w:r>
    </w:p>
    <w:p w14:paraId="57DCC1F6">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6、</w:t>
      </w:r>
      <w:r>
        <w:rPr>
          <w:rFonts w:hint="eastAsia" w:cs="仿宋" w:asciiTheme="minorEastAsia" w:hAnsiTheme="minorEastAsia" w:eastAsiaTheme="minorEastAsia"/>
          <w:sz w:val="22"/>
        </w:rPr>
        <w:t>违约承诺</w:t>
      </w:r>
    </w:p>
    <w:p w14:paraId="5D11CD51">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7、</w:t>
      </w:r>
      <w:r>
        <w:rPr>
          <w:rFonts w:hint="eastAsia" w:cs="仿宋" w:asciiTheme="minorEastAsia" w:hAnsiTheme="minorEastAsia" w:eastAsiaTheme="minorEastAsia"/>
          <w:sz w:val="22"/>
        </w:rPr>
        <w:t>投标人通过相关认证情况</w:t>
      </w:r>
    </w:p>
    <w:p w14:paraId="6BE66F6F">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8、</w:t>
      </w:r>
      <w:r>
        <w:rPr>
          <w:rFonts w:hint="eastAsia" w:cs="仿宋" w:asciiTheme="minorEastAsia" w:hAnsiTheme="minorEastAsia" w:eastAsiaTheme="minorEastAsia"/>
          <w:sz w:val="22"/>
        </w:rPr>
        <w:t>投标人同类项目业绩情况</w:t>
      </w:r>
    </w:p>
    <w:p w14:paraId="7F9ADB11">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9、</w:t>
      </w:r>
      <w:r>
        <w:rPr>
          <w:rFonts w:hint="eastAsia" w:cs="仿宋" w:asciiTheme="minorEastAsia" w:hAnsiTheme="minorEastAsia" w:eastAsiaTheme="minorEastAsia"/>
          <w:sz w:val="22"/>
        </w:rPr>
        <w:t>拟安排的项目负责人情况（仅限1人）</w:t>
      </w:r>
    </w:p>
    <w:p w14:paraId="128B46F3">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10、</w:t>
      </w:r>
      <w:r>
        <w:rPr>
          <w:rFonts w:hint="eastAsia" w:cs="仿宋" w:asciiTheme="minorEastAsia" w:hAnsiTheme="minorEastAsia" w:eastAsiaTheme="minorEastAsia"/>
          <w:sz w:val="22"/>
        </w:rPr>
        <w:t>拟安排的项目主要团队成员（主要技术人员）情况（项目负责人除外）</w:t>
      </w:r>
    </w:p>
    <w:p w14:paraId="427168C3">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11、</w:t>
      </w:r>
      <w:r>
        <w:rPr>
          <w:rFonts w:hint="eastAsia" w:cs="仿宋" w:asciiTheme="minorEastAsia" w:hAnsiTheme="minorEastAsia" w:eastAsiaTheme="minorEastAsia"/>
          <w:sz w:val="22"/>
        </w:rPr>
        <w:t>项目拟使用的车辆、场地、工具、机器等情况</w:t>
      </w:r>
    </w:p>
    <w:p w14:paraId="140CE5E4">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12、</w:t>
      </w:r>
      <w:r>
        <w:rPr>
          <w:rFonts w:hint="eastAsia" w:cs="仿宋" w:asciiTheme="minorEastAsia" w:hAnsiTheme="minorEastAsia" w:eastAsiaTheme="minorEastAsia"/>
          <w:sz w:val="22"/>
        </w:rPr>
        <w:t>信息化能力</w:t>
      </w:r>
    </w:p>
    <w:p w14:paraId="1D1DFAB0">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13、</w:t>
      </w:r>
      <w:r>
        <w:rPr>
          <w:rFonts w:hint="eastAsia" w:cs="仿宋" w:asciiTheme="minorEastAsia" w:hAnsiTheme="minorEastAsia" w:eastAsiaTheme="minorEastAsia"/>
          <w:sz w:val="22"/>
        </w:rPr>
        <w:t>服务网点</w:t>
      </w:r>
    </w:p>
    <w:p w14:paraId="609415DC">
      <w:pPr>
        <w:spacing w:line="360" w:lineRule="auto"/>
        <w:rPr>
          <w:rFonts w:cs="仿宋" w:asciiTheme="minorEastAsia" w:hAnsiTheme="minorEastAsia" w:eastAsiaTheme="minorEastAsia"/>
          <w:sz w:val="22"/>
          <w:szCs w:val="21"/>
        </w:rPr>
      </w:pPr>
      <w:r>
        <w:rPr>
          <w:rFonts w:hint="eastAsia" w:cs="仿宋" w:asciiTheme="minorEastAsia" w:hAnsiTheme="minorEastAsia" w:eastAsiaTheme="minorEastAsia"/>
          <w:sz w:val="22"/>
          <w:lang w:val="en-US" w:eastAsia="zh-CN"/>
        </w:rPr>
        <w:t>14、</w:t>
      </w:r>
      <w:r>
        <w:rPr>
          <w:rFonts w:hint="eastAsia" w:cs="仿宋" w:asciiTheme="minorEastAsia" w:hAnsiTheme="minorEastAsia" w:eastAsiaTheme="minorEastAsia"/>
          <w:sz w:val="22"/>
        </w:rPr>
        <w:t>诚信情况</w:t>
      </w:r>
    </w:p>
    <w:p w14:paraId="0924FF1B">
      <w:pPr>
        <w:pStyle w:val="21"/>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lang w:val="en-US" w:eastAsia="zh-CN"/>
        </w:rPr>
        <w:t>15</w:t>
      </w:r>
      <w:r>
        <w:rPr>
          <w:rFonts w:hint="eastAsia" w:cs="仿宋" w:asciiTheme="minorEastAsia" w:hAnsiTheme="minorEastAsia" w:eastAsiaTheme="minorEastAsia"/>
          <w:sz w:val="22"/>
          <w:szCs w:val="22"/>
        </w:rPr>
        <w:t>、投标供应商认为必要的其他方案</w:t>
      </w:r>
    </w:p>
    <w:p w14:paraId="610DA13C">
      <w:pPr>
        <w:rPr>
          <w:rFonts w:cs="仿宋" w:asciiTheme="minorEastAsia" w:hAnsiTheme="minorEastAsia" w:eastAsiaTheme="minorEastAsia"/>
          <w:highlight w:val="yellow"/>
        </w:rPr>
      </w:pPr>
    </w:p>
    <w:p w14:paraId="20972A39">
      <w:pPr>
        <w:widowControl/>
        <w:jc w:val="left"/>
        <w:rPr>
          <w:rFonts w:cs="仿宋" w:asciiTheme="minorEastAsia" w:hAnsiTheme="minorEastAsia" w:eastAsiaTheme="minorEastAsia"/>
        </w:rPr>
      </w:pPr>
      <w:r>
        <w:rPr>
          <w:rFonts w:cs="仿宋" w:asciiTheme="minorEastAsia" w:hAnsiTheme="minorEastAsia" w:eastAsiaTheme="minorEastAsia"/>
        </w:rPr>
        <w:br w:type="page"/>
      </w:r>
    </w:p>
    <w:p w14:paraId="447992F3">
      <w:pPr>
        <w:rPr>
          <w:rFonts w:cs="仿宋" w:asciiTheme="minorEastAsia" w:hAnsiTheme="minorEastAsia" w:eastAsiaTheme="minorEastAsia"/>
        </w:rPr>
      </w:pPr>
      <w:r>
        <w:rPr>
          <w:rFonts w:hint="eastAsia" w:cs="仿宋" w:asciiTheme="minorEastAsia" w:hAnsiTheme="minorEastAsia" w:eastAsiaTheme="minorEastAsia"/>
        </w:rPr>
        <w:t>附表1</w:t>
      </w:r>
    </w:p>
    <w:p w14:paraId="04BD43F6">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项目人员情况一览表</w:t>
      </w:r>
    </w:p>
    <w:tbl>
      <w:tblPr>
        <w:tblStyle w:val="23"/>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851"/>
        <w:gridCol w:w="921"/>
        <w:gridCol w:w="922"/>
        <w:gridCol w:w="1417"/>
        <w:gridCol w:w="1276"/>
        <w:gridCol w:w="1134"/>
        <w:gridCol w:w="1326"/>
      </w:tblGrid>
      <w:tr w14:paraId="1ED6FE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double" w:color="auto" w:sz="4" w:space="0"/>
              <w:left w:val="double" w:color="auto" w:sz="4" w:space="0"/>
            </w:tcBorders>
            <w:shd w:val="clear" w:color="auto" w:fill="C6D9F0" w:themeFill="text2" w:themeFillTint="33"/>
            <w:vAlign w:val="center"/>
          </w:tcPr>
          <w:p w14:paraId="67F5245F">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851" w:type="dxa"/>
            <w:tcBorders>
              <w:top w:val="double" w:color="auto" w:sz="4" w:space="0"/>
            </w:tcBorders>
            <w:shd w:val="clear" w:color="auto" w:fill="C6D9F0" w:themeFill="text2" w:themeFillTint="33"/>
            <w:vAlign w:val="center"/>
          </w:tcPr>
          <w:p w14:paraId="4ED28B2F">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类别</w:t>
            </w:r>
          </w:p>
        </w:tc>
        <w:tc>
          <w:tcPr>
            <w:tcW w:w="921" w:type="dxa"/>
            <w:tcBorders>
              <w:top w:val="double" w:color="auto" w:sz="4" w:space="0"/>
            </w:tcBorders>
            <w:shd w:val="clear" w:color="auto" w:fill="C6D9F0" w:themeFill="text2" w:themeFillTint="33"/>
            <w:vAlign w:val="center"/>
          </w:tcPr>
          <w:p w14:paraId="7BCFFAF0">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姓名</w:t>
            </w:r>
          </w:p>
        </w:tc>
        <w:tc>
          <w:tcPr>
            <w:tcW w:w="922" w:type="dxa"/>
            <w:tcBorders>
              <w:top w:val="double" w:color="auto" w:sz="4" w:space="0"/>
            </w:tcBorders>
            <w:shd w:val="clear" w:color="auto" w:fill="C6D9F0" w:themeFill="text2" w:themeFillTint="33"/>
            <w:vAlign w:val="center"/>
          </w:tcPr>
          <w:p w14:paraId="6CDD82F0">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学历</w:t>
            </w:r>
          </w:p>
        </w:tc>
        <w:tc>
          <w:tcPr>
            <w:tcW w:w="1417" w:type="dxa"/>
            <w:tcBorders>
              <w:top w:val="double" w:color="auto" w:sz="4" w:space="0"/>
            </w:tcBorders>
            <w:shd w:val="clear" w:color="auto" w:fill="C6D9F0" w:themeFill="text2" w:themeFillTint="33"/>
            <w:vAlign w:val="center"/>
          </w:tcPr>
          <w:p w14:paraId="3D2DAB01">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岗位及职务</w:t>
            </w:r>
          </w:p>
        </w:tc>
        <w:tc>
          <w:tcPr>
            <w:tcW w:w="1276" w:type="dxa"/>
            <w:tcBorders>
              <w:top w:val="double" w:color="auto" w:sz="4" w:space="0"/>
            </w:tcBorders>
            <w:shd w:val="clear" w:color="auto" w:fill="C6D9F0" w:themeFill="text2" w:themeFillTint="33"/>
            <w:vAlign w:val="center"/>
          </w:tcPr>
          <w:p w14:paraId="43C3C0F5">
            <w:pPr>
              <w:spacing w:line="276" w:lineRule="auto"/>
              <w:ind w:right="-53" w:rightChars="-25"/>
              <w:jc w:val="center"/>
              <w:rPr>
                <w:rFonts w:cs="仿宋" w:asciiTheme="minorEastAsia" w:hAnsiTheme="minorEastAsia" w:eastAsiaTheme="minorEastAsia"/>
                <w:b/>
              </w:rPr>
            </w:pPr>
            <w:r>
              <w:rPr>
                <w:rFonts w:hint="eastAsia" w:cs="仿宋" w:asciiTheme="minorEastAsia" w:hAnsiTheme="minorEastAsia" w:eastAsiaTheme="minorEastAsia"/>
                <w:b/>
              </w:rPr>
              <w:t>持何种资格证件</w:t>
            </w:r>
          </w:p>
        </w:tc>
        <w:tc>
          <w:tcPr>
            <w:tcW w:w="1134" w:type="dxa"/>
            <w:tcBorders>
              <w:top w:val="double" w:color="auto" w:sz="4" w:space="0"/>
            </w:tcBorders>
            <w:shd w:val="clear" w:color="auto" w:fill="C6D9F0" w:themeFill="text2" w:themeFillTint="33"/>
            <w:vAlign w:val="center"/>
          </w:tcPr>
          <w:p w14:paraId="632669D7">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发证时间</w:t>
            </w:r>
          </w:p>
        </w:tc>
        <w:tc>
          <w:tcPr>
            <w:tcW w:w="1326" w:type="dxa"/>
            <w:tcBorders>
              <w:top w:val="double" w:color="auto" w:sz="4" w:space="0"/>
              <w:right w:val="double" w:color="auto" w:sz="4" w:space="0"/>
            </w:tcBorders>
            <w:shd w:val="clear" w:color="auto" w:fill="C6D9F0" w:themeFill="text2" w:themeFillTint="33"/>
            <w:vAlign w:val="center"/>
          </w:tcPr>
          <w:p w14:paraId="22F58BDD">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工作经验</w:t>
            </w:r>
          </w:p>
        </w:tc>
      </w:tr>
      <w:tr w14:paraId="003560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11E70279">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851" w:type="dxa"/>
            <w:vAlign w:val="center"/>
          </w:tcPr>
          <w:p w14:paraId="56AAC17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项目负责人</w:t>
            </w:r>
          </w:p>
        </w:tc>
        <w:tc>
          <w:tcPr>
            <w:tcW w:w="921" w:type="dxa"/>
            <w:vAlign w:val="center"/>
          </w:tcPr>
          <w:p w14:paraId="755F70F3">
            <w:pPr>
              <w:spacing w:line="360" w:lineRule="auto"/>
              <w:jc w:val="center"/>
              <w:rPr>
                <w:rFonts w:cs="仿宋" w:asciiTheme="minorEastAsia" w:hAnsiTheme="minorEastAsia" w:eastAsiaTheme="minorEastAsia"/>
              </w:rPr>
            </w:pPr>
          </w:p>
        </w:tc>
        <w:tc>
          <w:tcPr>
            <w:tcW w:w="922" w:type="dxa"/>
            <w:vAlign w:val="center"/>
          </w:tcPr>
          <w:p w14:paraId="04FCB7F9">
            <w:pPr>
              <w:spacing w:line="360" w:lineRule="auto"/>
              <w:jc w:val="center"/>
              <w:rPr>
                <w:rFonts w:cs="仿宋" w:asciiTheme="minorEastAsia" w:hAnsiTheme="minorEastAsia" w:eastAsiaTheme="minorEastAsia"/>
              </w:rPr>
            </w:pPr>
          </w:p>
        </w:tc>
        <w:tc>
          <w:tcPr>
            <w:tcW w:w="1417" w:type="dxa"/>
            <w:vAlign w:val="center"/>
          </w:tcPr>
          <w:p w14:paraId="66A512B2">
            <w:pPr>
              <w:spacing w:line="360" w:lineRule="auto"/>
              <w:jc w:val="center"/>
              <w:rPr>
                <w:rFonts w:cs="仿宋" w:asciiTheme="minorEastAsia" w:hAnsiTheme="minorEastAsia" w:eastAsiaTheme="minorEastAsia"/>
              </w:rPr>
            </w:pPr>
          </w:p>
        </w:tc>
        <w:tc>
          <w:tcPr>
            <w:tcW w:w="1276" w:type="dxa"/>
            <w:vAlign w:val="center"/>
          </w:tcPr>
          <w:p w14:paraId="225C5DB7">
            <w:pPr>
              <w:spacing w:line="360" w:lineRule="auto"/>
              <w:jc w:val="center"/>
              <w:rPr>
                <w:rFonts w:cs="仿宋" w:asciiTheme="minorEastAsia" w:hAnsiTheme="minorEastAsia" w:eastAsiaTheme="minorEastAsia"/>
              </w:rPr>
            </w:pPr>
          </w:p>
        </w:tc>
        <w:tc>
          <w:tcPr>
            <w:tcW w:w="1134" w:type="dxa"/>
            <w:vAlign w:val="center"/>
          </w:tcPr>
          <w:p w14:paraId="76B2FF68">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4AE978F6">
            <w:pPr>
              <w:spacing w:line="360" w:lineRule="auto"/>
              <w:jc w:val="center"/>
              <w:rPr>
                <w:rFonts w:cs="仿宋" w:asciiTheme="minorEastAsia" w:hAnsiTheme="minorEastAsia" w:eastAsiaTheme="minorEastAsia"/>
              </w:rPr>
            </w:pPr>
          </w:p>
        </w:tc>
      </w:tr>
      <w:tr w14:paraId="0CFAC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5BCEACE6">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851" w:type="dxa"/>
            <w:vMerge w:val="restart"/>
            <w:vAlign w:val="center"/>
          </w:tcPr>
          <w:p w14:paraId="32A7089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项目团队成员</w:t>
            </w:r>
          </w:p>
        </w:tc>
        <w:tc>
          <w:tcPr>
            <w:tcW w:w="921" w:type="dxa"/>
            <w:vAlign w:val="center"/>
          </w:tcPr>
          <w:p w14:paraId="2B8EB13C">
            <w:pPr>
              <w:spacing w:line="360" w:lineRule="auto"/>
              <w:jc w:val="center"/>
              <w:rPr>
                <w:rFonts w:cs="仿宋" w:asciiTheme="minorEastAsia" w:hAnsiTheme="minorEastAsia" w:eastAsiaTheme="minorEastAsia"/>
              </w:rPr>
            </w:pPr>
          </w:p>
        </w:tc>
        <w:tc>
          <w:tcPr>
            <w:tcW w:w="922" w:type="dxa"/>
            <w:vAlign w:val="center"/>
          </w:tcPr>
          <w:p w14:paraId="695FCC3B">
            <w:pPr>
              <w:spacing w:line="360" w:lineRule="auto"/>
              <w:jc w:val="center"/>
              <w:rPr>
                <w:rFonts w:cs="仿宋" w:asciiTheme="minorEastAsia" w:hAnsiTheme="minorEastAsia" w:eastAsiaTheme="minorEastAsia"/>
              </w:rPr>
            </w:pPr>
          </w:p>
        </w:tc>
        <w:tc>
          <w:tcPr>
            <w:tcW w:w="1417" w:type="dxa"/>
            <w:vAlign w:val="center"/>
          </w:tcPr>
          <w:p w14:paraId="639776F4">
            <w:pPr>
              <w:spacing w:line="360" w:lineRule="auto"/>
              <w:jc w:val="center"/>
              <w:rPr>
                <w:rFonts w:cs="仿宋" w:asciiTheme="minorEastAsia" w:hAnsiTheme="minorEastAsia" w:eastAsiaTheme="minorEastAsia"/>
              </w:rPr>
            </w:pPr>
          </w:p>
        </w:tc>
        <w:tc>
          <w:tcPr>
            <w:tcW w:w="1276" w:type="dxa"/>
            <w:vAlign w:val="center"/>
          </w:tcPr>
          <w:p w14:paraId="510B8B4F">
            <w:pPr>
              <w:spacing w:line="360" w:lineRule="auto"/>
              <w:jc w:val="center"/>
              <w:rPr>
                <w:rFonts w:cs="仿宋" w:asciiTheme="minorEastAsia" w:hAnsiTheme="minorEastAsia" w:eastAsiaTheme="minorEastAsia"/>
              </w:rPr>
            </w:pPr>
          </w:p>
        </w:tc>
        <w:tc>
          <w:tcPr>
            <w:tcW w:w="1134" w:type="dxa"/>
            <w:vAlign w:val="center"/>
          </w:tcPr>
          <w:p w14:paraId="612EC125">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7557379D">
            <w:pPr>
              <w:spacing w:line="360" w:lineRule="auto"/>
              <w:jc w:val="center"/>
              <w:rPr>
                <w:rFonts w:cs="仿宋" w:asciiTheme="minorEastAsia" w:hAnsiTheme="minorEastAsia" w:eastAsiaTheme="minorEastAsia"/>
              </w:rPr>
            </w:pPr>
          </w:p>
        </w:tc>
      </w:tr>
      <w:tr w14:paraId="14A234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2F854EA2">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851" w:type="dxa"/>
            <w:vMerge w:val="continue"/>
            <w:vAlign w:val="center"/>
          </w:tcPr>
          <w:p w14:paraId="4773848B">
            <w:pPr>
              <w:spacing w:line="360" w:lineRule="auto"/>
              <w:jc w:val="center"/>
              <w:rPr>
                <w:rFonts w:cs="仿宋" w:asciiTheme="minorEastAsia" w:hAnsiTheme="minorEastAsia" w:eastAsiaTheme="minorEastAsia"/>
              </w:rPr>
            </w:pPr>
          </w:p>
        </w:tc>
        <w:tc>
          <w:tcPr>
            <w:tcW w:w="921" w:type="dxa"/>
            <w:vAlign w:val="center"/>
          </w:tcPr>
          <w:p w14:paraId="1A8C84A6">
            <w:pPr>
              <w:spacing w:line="360" w:lineRule="auto"/>
              <w:jc w:val="center"/>
              <w:rPr>
                <w:rFonts w:cs="仿宋" w:asciiTheme="minorEastAsia" w:hAnsiTheme="minorEastAsia" w:eastAsiaTheme="minorEastAsia"/>
              </w:rPr>
            </w:pPr>
          </w:p>
        </w:tc>
        <w:tc>
          <w:tcPr>
            <w:tcW w:w="922" w:type="dxa"/>
            <w:vAlign w:val="center"/>
          </w:tcPr>
          <w:p w14:paraId="62FA6AC5">
            <w:pPr>
              <w:spacing w:line="360" w:lineRule="auto"/>
              <w:jc w:val="center"/>
              <w:rPr>
                <w:rFonts w:cs="仿宋" w:asciiTheme="minorEastAsia" w:hAnsiTheme="minorEastAsia" w:eastAsiaTheme="minorEastAsia"/>
              </w:rPr>
            </w:pPr>
          </w:p>
        </w:tc>
        <w:tc>
          <w:tcPr>
            <w:tcW w:w="1417" w:type="dxa"/>
            <w:vAlign w:val="center"/>
          </w:tcPr>
          <w:p w14:paraId="7F7207F3">
            <w:pPr>
              <w:spacing w:line="360" w:lineRule="auto"/>
              <w:jc w:val="center"/>
              <w:rPr>
                <w:rFonts w:cs="仿宋" w:asciiTheme="minorEastAsia" w:hAnsiTheme="minorEastAsia" w:eastAsiaTheme="minorEastAsia"/>
              </w:rPr>
            </w:pPr>
          </w:p>
        </w:tc>
        <w:tc>
          <w:tcPr>
            <w:tcW w:w="1276" w:type="dxa"/>
            <w:vAlign w:val="center"/>
          </w:tcPr>
          <w:p w14:paraId="44A552BD">
            <w:pPr>
              <w:spacing w:line="360" w:lineRule="auto"/>
              <w:jc w:val="center"/>
              <w:rPr>
                <w:rFonts w:cs="仿宋" w:asciiTheme="minorEastAsia" w:hAnsiTheme="minorEastAsia" w:eastAsiaTheme="minorEastAsia"/>
              </w:rPr>
            </w:pPr>
          </w:p>
        </w:tc>
        <w:tc>
          <w:tcPr>
            <w:tcW w:w="1134" w:type="dxa"/>
            <w:vAlign w:val="center"/>
          </w:tcPr>
          <w:p w14:paraId="3692F8D0">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00F2205B">
            <w:pPr>
              <w:spacing w:line="360" w:lineRule="auto"/>
              <w:jc w:val="center"/>
              <w:rPr>
                <w:rFonts w:cs="仿宋" w:asciiTheme="minorEastAsia" w:hAnsiTheme="minorEastAsia" w:eastAsiaTheme="minorEastAsia"/>
              </w:rPr>
            </w:pPr>
          </w:p>
        </w:tc>
      </w:tr>
      <w:tr w14:paraId="09F15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3C672CDD">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851" w:type="dxa"/>
            <w:vMerge w:val="continue"/>
            <w:vAlign w:val="center"/>
          </w:tcPr>
          <w:p w14:paraId="3805420A">
            <w:pPr>
              <w:spacing w:line="360" w:lineRule="auto"/>
              <w:jc w:val="center"/>
              <w:rPr>
                <w:rFonts w:cs="仿宋" w:asciiTheme="minorEastAsia" w:hAnsiTheme="minorEastAsia" w:eastAsiaTheme="minorEastAsia"/>
              </w:rPr>
            </w:pPr>
          </w:p>
        </w:tc>
        <w:tc>
          <w:tcPr>
            <w:tcW w:w="921" w:type="dxa"/>
            <w:vAlign w:val="center"/>
          </w:tcPr>
          <w:p w14:paraId="00D08C26">
            <w:pPr>
              <w:spacing w:line="360" w:lineRule="auto"/>
              <w:jc w:val="center"/>
              <w:rPr>
                <w:rFonts w:cs="仿宋" w:asciiTheme="minorEastAsia" w:hAnsiTheme="minorEastAsia" w:eastAsiaTheme="minorEastAsia"/>
              </w:rPr>
            </w:pPr>
          </w:p>
        </w:tc>
        <w:tc>
          <w:tcPr>
            <w:tcW w:w="922" w:type="dxa"/>
            <w:vAlign w:val="center"/>
          </w:tcPr>
          <w:p w14:paraId="06CAF6DA">
            <w:pPr>
              <w:spacing w:line="360" w:lineRule="auto"/>
              <w:jc w:val="center"/>
              <w:rPr>
                <w:rFonts w:cs="仿宋" w:asciiTheme="minorEastAsia" w:hAnsiTheme="minorEastAsia" w:eastAsiaTheme="minorEastAsia"/>
              </w:rPr>
            </w:pPr>
          </w:p>
        </w:tc>
        <w:tc>
          <w:tcPr>
            <w:tcW w:w="1417" w:type="dxa"/>
            <w:vAlign w:val="center"/>
          </w:tcPr>
          <w:p w14:paraId="15A0BD15">
            <w:pPr>
              <w:spacing w:line="360" w:lineRule="auto"/>
              <w:jc w:val="center"/>
              <w:rPr>
                <w:rFonts w:cs="仿宋" w:asciiTheme="minorEastAsia" w:hAnsiTheme="minorEastAsia" w:eastAsiaTheme="minorEastAsia"/>
              </w:rPr>
            </w:pPr>
          </w:p>
        </w:tc>
        <w:tc>
          <w:tcPr>
            <w:tcW w:w="1276" w:type="dxa"/>
            <w:vAlign w:val="center"/>
          </w:tcPr>
          <w:p w14:paraId="62D3AEA3">
            <w:pPr>
              <w:spacing w:line="360" w:lineRule="auto"/>
              <w:jc w:val="center"/>
              <w:rPr>
                <w:rFonts w:cs="仿宋" w:asciiTheme="minorEastAsia" w:hAnsiTheme="minorEastAsia" w:eastAsiaTheme="minorEastAsia"/>
              </w:rPr>
            </w:pPr>
          </w:p>
        </w:tc>
        <w:tc>
          <w:tcPr>
            <w:tcW w:w="1134" w:type="dxa"/>
            <w:vAlign w:val="center"/>
          </w:tcPr>
          <w:p w14:paraId="5769F9FF">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6F543421">
            <w:pPr>
              <w:spacing w:line="360" w:lineRule="auto"/>
              <w:jc w:val="center"/>
              <w:rPr>
                <w:rFonts w:cs="仿宋" w:asciiTheme="minorEastAsia" w:hAnsiTheme="minorEastAsia" w:eastAsiaTheme="minorEastAsia"/>
              </w:rPr>
            </w:pPr>
          </w:p>
        </w:tc>
      </w:tr>
      <w:tr w14:paraId="662670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14:paraId="391F8215">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851" w:type="dxa"/>
            <w:vMerge w:val="continue"/>
            <w:tcBorders>
              <w:bottom w:val="double" w:color="auto" w:sz="4" w:space="0"/>
            </w:tcBorders>
            <w:vAlign w:val="center"/>
          </w:tcPr>
          <w:p w14:paraId="4EC1CACC">
            <w:pPr>
              <w:spacing w:line="360" w:lineRule="auto"/>
              <w:jc w:val="center"/>
              <w:rPr>
                <w:rFonts w:cs="仿宋" w:asciiTheme="minorEastAsia" w:hAnsiTheme="minorEastAsia" w:eastAsiaTheme="minorEastAsia"/>
              </w:rPr>
            </w:pPr>
          </w:p>
        </w:tc>
        <w:tc>
          <w:tcPr>
            <w:tcW w:w="921" w:type="dxa"/>
            <w:tcBorders>
              <w:bottom w:val="double" w:color="auto" w:sz="4" w:space="0"/>
            </w:tcBorders>
            <w:vAlign w:val="center"/>
          </w:tcPr>
          <w:p w14:paraId="4BE8A512">
            <w:pPr>
              <w:spacing w:line="360" w:lineRule="auto"/>
              <w:jc w:val="center"/>
              <w:rPr>
                <w:rFonts w:cs="仿宋" w:asciiTheme="minorEastAsia" w:hAnsiTheme="minorEastAsia" w:eastAsiaTheme="minorEastAsia"/>
              </w:rPr>
            </w:pPr>
          </w:p>
        </w:tc>
        <w:tc>
          <w:tcPr>
            <w:tcW w:w="922" w:type="dxa"/>
            <w:tcBorders>
              <w:bottom w:val="double" w:color="auto" w:sz="4" w:space="0"/>
            </w:tcBorders>
            <w:vAlign w:val="center"/>
          </w:tcPr>
          <w:p w14:paraId="6D51A621">
            <w:pPr>
              <w:spacing w:line="360" w:lineRule="auto"/>
              <w:jc w:val="center"/>
              <w:rPr>
                <w:rFonts w:cs="仿宋" w:asciiTheme="minorEastAsia" w:hAnsiTheme="minorEastAsia" w:eastAsiaTheme="minorEastAsia"/>
              </w:rPr>
            </w:pPr>
          </w:p>
        </w:tc>
        <w:tc>
          <w:tcPr>
            <w:tcW w:w="1417" w:type="dxa"/>
            <w:tcBorders>
              <w:bottom w:val="double" w:color="auto" w:sz="4" w:space="0"/>
            </w:tcBorders>
            <w:vAlign w:val="center"/>
          </w:tcPr>
          <w:p w14:paraId="034A4ED9">
            <w:pPr>
              <w:spacing w:line="360" w:lineRule="auto"/>
              <w:jc w:val="center"/>
              <w:rPr>
                <w:rFonts w:cs="仿宋" w:asciiTheme="minorEastAsia" w:hAnsiTheme="minorEastAsia" w:eastAsiaTheme="minorEastAsia"/>
              </w:rPr>
            </w:pPr>
          </w:p>
        </w:tc>
        <w:tc>
          <w:tcPr>
            <w:tcW w:w="1276" w:type="dxa"/>
            <w:tcBorders>
              <w:bottom w:val="double" w:color="auto" w:sz="4" w:space="0"/>
            </w:tcBorders>
            <w:vAlign w:val="center"/>
          </w:tcPr>
          <w:p w14:paraId="57216680">
            <w:pPr>
              <w:spacing w:line="360" w:lineRule="auto"/>
              <w:jc w:val="center"/>
              <w:rPr>
                <w:rFonts w:cs="仿宋" w:asciiTheme="minorEastAsia" w:hAnsiTheme="minorEastAsia" w:eastAsiaTheme="minorEastAsia"/>
              </w:rPr>
            </w:pPr>
          </w:p>
        </w:tc>
        <w:tc>
          <w:tcPr>
            <w:tcW w:w="1134" w:type="dxa"/>
            <w:tcBorders>
              <w:bottom w:val="double" w:color="auto" w:sz="4" w:space="0"/>
            </w:tcBorders>
            <w:vAlign w:val="center"/>
          </w:tcPr>
          <w:p w14:paraId="6F777682">
            <w:pPr>
              <w:spacing w:line="360" w:lineRule="auto"/>
              <w:jc w:val="center"/>
              <w:rPr>
                <w:rFonts w:cs="仿宋" w:asciiTheme="minorEastAsia" w:hAnsiTheme="minorEastAsia" w:eastAsiaTheme="minorEastAsia"/>
              </w:rPr>
            </w:pPr>
          </w:p>
        </w:tc>
        <w:tc>
          <w:tcPr>
            <w:tcW w:w="1326" w:type="dxa"/>
            <w:tcBorders>
              <w:bottom w:val="double" w:color="auto" w:sz="4" w:space="0"/>
              <w:right w:val="double" w:color="auto" w:sz="4" w:space="0"/>
            </w:tcBorders>
            <w:vAlign w:val="center"/>
          </w:tcPr>
          <w:p w14:paraId="64BC37E1">
            <w:pPr>
              <w:spacing w:line="360" w:lineRule="auto"/>
              <w:jc w:val="center"/>
              <w:rPr>
                <w:rFonts w:cs="仿宋" w:asciiTheme="minorEastAsia" w:hAnsiTheme="minorEastAsia" w:eastAsiaTheme="minorEastAsia"/>
              </w:rPr>
            </w:pPr>
          </w:p>
        </w:tc>
      </w:tr>
    </w:tbl>
    <w:p w14:paraId="128A7138">
      <w:pPr>
        <w:jc w:val="center"/>
        <w:rPr>
          <w:rFonts w:cs="仿宋" w:asciiTheme="minorEastAsia" w:hAnsiTheme="minorEastAsia" w:eastAsiaTheme="minorEastAsia"/>
          <w:b/>
          <w:sz w:val="32"/>
          <w:szCs w:val="32"/>
        </w:rPr>
      </w:pPr>
    </w:p>
    <w:p w14:paraId="566D0BD2">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463AFF9C">
      <w:pPr>
        <w:spacing w:line="360" w:lineRule="auto"/>
        <w:rPr>
          <w:rFonts w:cs="仿宋" w:asciiTheme="minorEastAsia" w:hAnsiTheme="minorEastAsia" w:eastAsiaTheme="minorEastAsia"/>
        </w:rPr>
      </w:pPr>
    </w:p>
    <w:p w14:paraId="0DC9B8A2">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26D7A96B">
      <w:pPr>
        <w:spacing w:line="360" w:lineRule="auto"/>
        <w:ind w:firstLine="630"/>
        <w:rPr>
          <w:rFonts w:cs="仿宋" w:asciiTheme="minorEastAsia" w:hAnsiTheme="minorEastAsia" w:eastAsiaTheme="minorEastAsia"/>
        </w:rPr>
      </w:pPr>
    </w:p>
    <w:p w14:paraId="562317B0">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20AC0EC7">
      <w:pPr>
        <w:autoSpaceDE w:val="0"/>
        <w:autoSpaceDN w:val="0"/>
        <w:adjustRightInd w:val="0"/>
        <w:spacing w:line="360" w:lineRule="auto"/>
        <w:rPr>
          <w:rFonts w:cs="仿宋" w:asciiTheme="minorEastAsia" w:hAnsiTheme="minorEastAsia" w:eastAsiaTheme="minorEastAsia"/>
          <w:b/>
          <w:color w:val="FF0000"/>
          <w:sz w:val="22"/>
        </w:rPr>
      </w:pPr>
    </w:p>
    <w:p w14:paraId="30FBD241">
      <w:pPr>
        <w:autoSpaceDE w:val="0"/>
        <w:autoSpaceDN w:val="0"/>
        <w:adjustRightInd w:val="0"/>
        <w:spacing w:line="360" w:lineRule="auto"/>
        <w:rPr>
          <w:rFonts w:cs="仿宋" w:asciiTheme="minorEastAsia" w:hAnsiTheme="minorEastAsia" w:eastAsiaTheme="minorEastAsia"/>
          <w:b/>
          <w:color w:val="FF0000"/>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color w:val="FF0000"/>
        </w:rPr>
        <w:t xml:space="preserve"> </w:t>
      </w:r>
    </w:p>
    <w:p w14:paraId="5E670C7E">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1、填写时，如本表格不适合投标单位的实际情况，可根据本表格格式自行划表填写。</w:t>
      </w:r>
    </w:p>
    <w:p w14:paraId="3497DA89">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2、有关人员简历及身份证、资格证书及其它证明材料（复印件）需附在本表之后。</w:t>
      </w:r>
    </w:p>
    <w:p w14:paraId="6C4D8F10">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3、本表格所要求填写的人员是指投标单位将安排在此项目的具体人员。</w:t>
      </w:r>
    </w:p>
    <w:p w14:paraId="25053EBF">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p>
    <w:p w14:paraId="6ACA9B07">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6F5AB1D7">
      <w:pPr>
        <w:tabs>
          <w:tab w:val="left" w:pos="170"/>
        </w:tabs>
        <w:autoSpaceDE w:val="0"/>
        <w:autoSpaceDN w:val="0"/>
        <w:adjustRightInd w:val="0"/>
        <w:spacing w:line="360" w:lineRule="auto"/>
        <w:ind w:firstLine="321" w:firstLineChars="100"/>
        <w:jc w:val="center"/>
        <w:rPr>
          <w:rFonts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差异表</w:t>
      </w:r>
    </w:p>
    <w:p w14:paraId="04ECF5B6">
      <w:pPr>
        <w:rPr>
          <w:rFonts w:cs="仿宋" w:asciiTheme="minorEastAsia" w:hAnsiTheme="minorEastAsia" w:eastAsiaTheme="minorEastAsia"/>
        </w:rPr>
      </w:pPr>
    </w:p>
    <w:p w14:paraId="035B60DC">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0F012D40">
      <w:pPr>
        <w:spacing w:line="360" w:lineRule="auto"/>
        <w:rPr>
          <w:rFonts w:cs="仿宋" w:asciiTheme="minorEastAsia" w:hAnsiTheme="minorEastAsia" w:eastAsiaTheme="minorEastAsia"/>
          <w:u w:val="single"/>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3"/>
        <w:tblW w:w="8522" w:type="dxa"/>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835"/>
        <w:gridCol w:w="2126"/>
        <w:gridCol w:w="2602"/>
      </w:tblGrid>
      <w:tr w14:paraId="7C48B476">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14:paraId="3E79EE38">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14:paraId="655B08B5">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征集文件条款</w:t>
            </w:r>
          </w:p>
        </w:tc>
        <w:tc>
          <w:tcPr>
            <w:tcW w:w="2126" w:type="dxa"/>
            <w:shd w:val="clear" w:color="auto" w:fill="C6D9F0" w:themeFill="text2" w:themeFillTint="33"/>
            <w:vAlign w:val="center"/>
          </w:tcPr>
          <w:p w14:paraId="4E03E71A">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14:paraId="3F60ADCB">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说明</w:t>
            </w:r>
          </w:p>
        </w:tc>
      </w:tr>
      <w:tr w14:paraId="1D27BE9F">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1DDF4E2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14:paraId="19FDCDD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14:paraId="74CE88C3">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14:paraId="0577FF33">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14:paraId="667DF961">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投标文件的技术与商务部分与征集文件有偏差（甚至是细微偏差），都需在本表中列出。</w:t>
      </w:r>
    </w:p>
    <w:p w14:paraId="67DC5F77">
      <w:pPr>
        <w:rPr>
          <w:rFonts w:cs="仿宋" w:asciiTheme="minorEastAsia" w:hAnsiTheme="minorEastAsia" w:eastAsiaTheme="minorEastAsia"/>
          <w:bCs/>
        </w:rPr>
      </w:pPr>
    </w:p>
    <w:p w14:paraId="62012D6F">
      <w:pPr>
        <w:rPr>
          <w:rFonts w:cs="仿宋" w:asciiTheme="minorEastAsia" w:hAnsiTheme="minorEastAsia" w:eastAsiaTheme="minorEastAsia"/>
          <w:bCs/>
        </w:rPr>
      </w:pPr>
    </w:p>
    <w:p w14:paraId="2E92D385">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44169BC4">
      <w:pPr>
        <w:pStyle w:val="21"/>
        <w:rPr>
          <w:rFonts w:asciiTheme="minorEastAsia" w:hAnsiTheme="minorEastAsia" w:eastAsiaTheme="minorEastAsia"/>
        </w:rPr>
      </w:pPr>
    </w:p>
    <w:p w14:paraId="4930AB5A">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73A5405F">
      <w:pPr>
        <w:spacing w:line="360" w:lineRule="auto"/>
        <w:ind w:firstLine="630"/>
        <w:rPr>
          <w:rFonts w:cs="仿宋" w:asciiTheme="minorEastAsia" w:hAnsiTheme="minorEastAsia" w:eastAsiaTheme="minorEastAsia"/>
        </w:rPr>
      </w:pPr>
    </w:p>
    <w:p w14:paraId="369249B5">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7C78763F">
      <w:pPr>
        <w:rPr>
          <w:rFonts w:cs="仿宋" w:asciiTheme="minorEastAsia" w:hAnsiTheme="minorEastAsia" w:eastAsiaTheme="minorEastAsia"/>
        </w:rPr>
      </w:pPr>
    </w:p>
    <w:p w14:paraId="6C1C8673">
      <w:pPr>
        <w:widowControl/>
        <w:jc w:val="left"/>
        <w:rPr>
          <w:rFonts w:cs="仿宋" w:asciiTheme="minorEastAsia" w:hAnsiTheme="minorEastAsia" w:eastAsiaTheme="minorEastAsia"/>
        </w:rPr>
      </w:pPr>
    </w:p>
    <w:p w14:paraId="1BA0BEB3">
      <w:pPr>
        <w:pStyle w:val="21"/>
        <w:rPr>
          <w:rFonts w:cs="仿宋" w:asciiTheme="minorEastAsia" w:hAnsiTheme="minorEastAsia" w:eastAsiaTheme="minorEastAsia"/>
        </w:rPr>
      </w:pPr>
    </w:p>
    <w:p w14:paraId="637F8A99">
      <w:pPr>
        <w:pStyle w:val="21"/>
        <w:rPr>
          <w:rFonts w:cs="仿宋" w:asciiTheme="minorEastAsia" w:hAnsiTheme="minorEastAsia" w:eastAsiaTheme="minorEastAsia"/>
        </w:rPr>
      </w:pPr>
    </w:p>
    <w:p w14:paraId="54C0CF27">
      <w:pPr>
        <w:pStyle w:val="21"/>
        <w:rPr>
          <w:rFonts w:cs="仿宋" w:asciiTheme="minorEastAsia" w:hAnsiTheme="minorEastAsia" w:eastAsiaTheme="minorEastAsia"/>
        </w:rPr>
      </w:pPr>
    </w:p>
    <w:p w14:paraId="7A01C14C">
      <w:pPr>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14:paraId="7A56A4D9">
      <w:pPr>
        <w:jc w:val="center"/>
        <w:rPr>
          <w:rFonts w:cs="仿宋" w:asciiTheme="minorEastAsia" w:hAnsiTheme="minorEastAsia" w:eastAsiaTheme="minorEastAsia"/>
          <w:b/>
          <w:bCs/>
          <w:sz w:val="28"/>
          <w:szCs w:val="32"/>
        </w:rPr>
      </w:pPr>
      <w:r>
        <w:rPr>
          <w:rFonts w:hint="eastAsia" w:cs="仿宋" w:asciiTheme="minorEastAsia" w:hAnsiTheme="minorEastAsia" w:eastAsiaTheme="minorEastAsia"/>
          <w:b/>
          <w:sz w:val="28"/>
          <w:szCs w:val="32"/>
        </w:rPr>
        <w:t xml:space="preserve">格式8  </w:t>
      </w:r>
      <w:r>
        <w:rPr>
          <w:rFonts w:hint="eastAsia" w:cs="仿宋" w:asciiTheme="minorEastAsia" w:hAnsiTheme="minorEastAsia" w:eastAsiaTheme="minorEastAsia"/>
          <w:b/>
          <w:bCs/>
          <w:sz w:val="28"/>
          <w:szCs w:val="32"/>
        </w:rPr>
        <w:t>其他征集文件要求的资料或投标供应商认为需要补充的资料</w:t>
      </w:r>
    </w:p>
    <w:p w14:paraId="13F3E53C">
      <w:pPr>
        <w:rPr>
          <w:rFonts w:cs="仿宋" w:asciiTheme="minorEastAsia" w:hAnsiTheme="minorEastAsia" w:eastAsiaTheme="minorEastAsia"/>
        </w:rPr>
      </w:pPr>
    </w:p>
    <w:p w14:paraId="60ACE264">
      <w:pPr>
        <w:widowControl/>
        <w:snapToGrid w:val="0"/>
        <w:spacing w:line="360" w:lineRule="auto"/>
        <w:ind w:firstLine="424" w:firstLineChars="202"/>
        <w:jc w:val="center"/>
        <w:rPr>
          <w:rFonts w:asciiTheme="minorEastAsia" w:hAnsiTheme="minorEastAsia" w:eastAsiaTheme="minorEastAsia"/>
          <w:color w:val="FF0000"/>
          <w:kern w:val="0"/>
          <w:szCs w:val="21"/>
        </w:rPr>
      </w:pPr>
      <w:r>
        <w:rPr>
          <w:rFonts w:hint="eastAsia" w:ascii="Times New Roman" w:hAnsi="Times New Roman"/>
          <w:snapToGrid w:val="0"/>
          <w:kern w:val="0"/>
          <w:szCs w:val="24"/>
        </w:rPr>
        <w:t>（投标</w:t>
      </w:r>
      <w:r>
        <w:rPr>
          <w:rFonts w:hint="eastAsia" w:ascii="Times New Roman" w:hAnsi="Times New Roman"/>
          <w:snapToGrid w:val="0"/>
          <w:kern w:val="0"/>
          <w:szCs w:val="24"/>
          <w:lang w:val="en-US" w:eastAsia="zh-CN"/>
        </w:rPr>
        <w:t>供应商</w:t>
      </w:r>
      <w:r>
        <w:rPr>
          <w:rFonts w:hint="eastAsia" w:ascii="Times New Roman" w:hAnsi="Times New Roman"/>
          <w:snapToGrid w:val="0"/>
          <w:kern w:val="0"/>
          <w:szCs w:val="24"/>
        </w:rPr>
        <w:t>自拟）</w:t>
      </w:r>
    </w:p>
    <w:p w14:paraId="158145E7">
      <w:pPr>
        <w:widowControl/>
        <w:jc w:val="left"/>
        <w:rPr>
          <w:rFonts w:cs="仿宋" w:asciiTheme="minorEastAsia" w:hAnsiTheme="minorEastAsia" w:eastAsiaTheme="minorEastAsia"/>
          <w:bCs/>
        </w:rPr>
      </w:pPr>
      <w:r>
        <w:rPr>
          <w:rFonts w:hint="eastAsia" w:cs="仿宋" w:asciiTheme="minorEastAsia" w:hAnsiTheme="minorEastAsia" w:eastAsiaTheme="minorEastAsia"/>
          <w:bCs/>
        </w:rPr>
        <w:br w:type="page"/>
      </w:r>
    </w:p>
    <w:p w14:paraId="13DE72BE">
      <w:pPr>
        <w:rPr>
          <w:rFonts w:cs="仿宋" w:asciiTheme="minorEastAsia" w:hAnsiTheme="minorEastAsia" w:eastAsiaTheme="minorEastAsia"/>
        </w:rPr>
      </w:pPr>
    </w:p>
    <w:p w14:paraId="4333F02B">
      <w:pPr>
        <w:pStyle w:val="20"/>
        <w:ind w:firstLine="210"/>
      </w:pPr>
    </w:p>
    <w:p w14:paraId="246B086A">
      <w:pPr>
        <w:rPr>
          <w:rFonts w:cs="仿宋" w:asciiTheme="minorEastAsia" w:hAnsiTheme="minorEastAsia" w:eastAsiaTheme="minorEastAsia"/>
        </w:rPr>
      </w:pPr>
    </w:p>
    <w:p w14:paraId="50FBE431">
      <w:pPr>
        <w:rPr>
          <w:rFonts w:cs="仿宋" w:asciiTheme="minorEastAsia" w:hAnsiTheme="minorEastAsia" w:eastAsiaTheme="minorEastAsia"/>
        </w:rPr>
      </w:pPr>
    </w:p>
    <w:p w14:paraId="03E84FB6">
      <w:pPr>
        <w:rPr>
          <w:rFonts w:cs="仿宋" w:asciiTheme="minorEastAsia" w:hAnsiTheme="minorEastAsia" w:eastAsiaTheme="minorEastAsia"/>
        </w:rPr>
      </w:pPr>
    </w:p>
    <w:p w14:paraId="11BAA5BE">
      <w:pPr>
        <w:rPr>
          <w:rFonts w:cs="仿宋" w:asciiTheme="minorEastAsia" w:hAnsiTheme="minorEastAsia" w:eastAsiaTheme="minorEastAsia"/>
        </w:rPr>
      </w:pPr>
    </w:p>
    <w:p w14:paraId="633DACC1">
      <w:pPr>
        <w:rPr>
          <w:rFonts w:cs="仿宋" w:asciiTheme="minorEastAsia" w:hAnsiTheme="minorEastAsia" w:eastAsiaTheme="minorEastAsia"/>
        </w:rPr>
      </w:pPr>
    </w:p>
    <w:p w14:paraId="6980AA8B">
      <w:pPr>
        <w:rPr>
          <w:rFonts w:cs="仿宋" w:asciiTheme="minorEastAsia" w:hAnsiTheme="minorEastAsia" w:eastAsiaTheme="minorEastAsia"/>
        </w:rPr>
      </w:pPr>
    </w:p>
    <w:p w14:paraId="09967FF9">
      <w:pPr>
        <w:rPr>
          <w:rFonts w:cs="仿宋" w:asciiTheme="minorEastAsia" w:hAnsiTheme="minorEastAsia" w:eastAsiaTheme="minorEastAsia"/>
        </w:rPr>
      </w:pPr>
    </w:p>
    <w:p w14:paraId="4C85D6ED">
      <w:pPr>
        <w:rPr>
          <w:rFonts w:cs="仿宋" w:asciiTheme="minorEastAsia" w:hAnsiTheme="minorEastAsia" w:eastAsiaTheme="minorEastAsia"/>
        </w:rPr>
      </w:pPr>
    </w:p>
    <w:p w14:paraId="2DD871AA">
      <w:pPr>
        <w:rPr>
          <w:rFonts w:cs="仿宋" w:asciiTheme="minorEastAsia" w:hAnsiTheme="minorEastAsia" w:eastAsiaTheme="minorEastAsia"/>
        </w:rPr>
      </w:pPr>
    </w:p>
    <w:p w14:paraId="7D2A39DE">
      <w:pPr>
        <w:rPr>
          <w:rFonts w:cs="仿宋" w:asciiTheme="minorEastAsia" w:hAnsiTheme="minorEastAsia" w:eastAsiaTheme="minorEastAsia"/>
        </w:rPr>
      </w:pPr>
    </w:p>
    <w:p w14:paraId="29B40928">
      <w:pPr>
        <w:rPr>
          <w:rFonts w:cs="仿宋" w:asciiTheme="minorEastAsia" w:hAnsiTheme="minorEastAsia" w:eastAsiaTheme="minorEastAsia"/>
        </w:rPr>
      </w:pPr>
    </w:p>
    <w:p w14:paraId="7C814CA8">
      <w:pPr>
        <w:rPr>
          <w:rFonts w:cs="仿宋" w:asciiTheme="minorEastAsia" w:hAnsiTheme="minorEastAsia" w:eastAsiaTheme="minorEastAsia"/>
        </w:rPr>
      </w:pPr>
    </w:p>
    <w:p w14:paraId="30CDDF71">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14:paraId="0FEAFCAA">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14:paraId="78FF27C7">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A13DACF">
      <w:pPr>
        <w:adjustRightInd w:val="0"/>
        <w:snapToGrid w:val="0"/>
        <w:spacing w:line="300" w:lineRule="auto"/>
        <w:ind w:left="2"/>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合同条款</w:t>
      </w:r>
    </w:p>
    <w:p w14:paraId="5D13B987">
      <w:pPr>
        <w:pStyle w:val="41"/>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b/>
          <w:bCs/>
          <w:snapToGrid w:val="0"/>
          <w:sz w:val="32"/>
          <w:szCs w:val="32"/>
        </w:rPr>
      </w:pPr>
      <w:r>
        <w:rPr>
          <w:rFonts w:hint="eastAsia" w:cs="仿宋" w:asciiTheme="minorEastAsia" w:hAnsiTheme="minorEastAsia" w:eastAsiaTheme="minorEastAsia"/>
          <w:b/>
          <w:bCs/>
          <w:snapToGrid w:val="0"/>
          <w:sz w:val="32"/>
          <w:szCs w:val="32"/>
        </w:rPr>
        <w:t>（仅供参考）</w:t>
      </w:r>
    </w:p>
    <w:p w14:paraId="60B0C15B">
      <w:pPr>
        <w:spacing w:line="360" w:lineRule="auto"/>
        <w:ind w:firstLine="482" w:firstLineChars="200"/>
        <w:rPr>
          <w:rFonts w:ascii="Times New Roman" w:hAnsi="Times New Roman"/>
          <w:b/>
          <w:sz w:val="24"/>
          <w:szCs w:val="20"/>
        </w:rPr>
      </w:pPr>
      <w:r>
        <w:rPr>
          <w:rFonts w:hint="eastAsia" w:ascii="Times New Roman" w:hAnsi="Times New Roman"/>
          <w:b/>
          <w:sz w:val="24"/>
          <w:szCs w:val="20"/>
        </w:rPr>
        <w:t>重要说明：采购人在签订合同前有权依据征集文件要求和项目实际情况对以下合同内容进行删改或补充。</w:t>
      </w:r>
    </w:p>
    <w:p w14:paraId="3201E1A4">
      <w:pPr>
        <w:widowControl/>
        <w:spacing w:line="360" w:lineRule="auto"/>
        <w:jc w:val="left"/>
        <w:rPr>
          <w:rFonts w:hint="eastAsia" w:ascii="宋体" w:hAnsi="宋体" w:eastAsia="宋体" w:cs="宋体"/>
          <w:b/>
          <w:bCs/>
          <w:sz w:val="21"/>
          <w:szCs w:val="21"/>
        </w:rPr>
      </w:pPr>
    </w:p>
    <w:p w14:paraId="6E3235B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甲方：深圳市公安局治安管理支队</w:t>
      </w:r>
    </w:p>
    <w:p w14:paraId="75817148">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地址：</w:t>
      </w:r>
      <w:r>
        <w:rPr>
          <w:rFonts w:hint="eastAsia" w:ascii="宋体" w:hAnsi="宋体" w:eastAsia="宋体" w:cs="宋体"/>
          <w:b/>
          <w:bCs/>
          <w:sz w:val="21"/>
          <w:szCs w:val="21"/>
          <w:lang w:eastAsia="zh-CN"/>
        </w:rPr>
        <w:t>深圳市福田区安托山九路</w:t>
      </w:r>
      <w:r>
        <w:rPr>
          <w:rFonts w:hint="eastAsia" w:ascii="宋体" w:hAnsi="宋体" w:eastAsia="宋体" w:cs="宋体"/>
          <w:b/>
          <w:bCs/>
          <w:sz w:val="21"/>
          <w:szCs w:val="21"/>
          <w:lang w:val="en-US" w:eastAsia="zh-CN"/>
        </w:rPr>
        <w:t>9号</w:t>
      </w:r>
    </w:p>
    <w:p w14:paraId="0AFF3ACD">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联系方式：</w:t>
      </w:r>
      <w:r>
        <w:rPr>
          <w:rFonts w:hint="eastAsia" w:ascii="宋体" w:hAnsi="宋体" w:eastAsia="宋体" w:cs="宋体"/>
          <w:b/>
          <w:bCs/>
          <w:sz w:val="21"/>
          <w:szCs w:val="21"/>
          <w:lang w:val="en-US" w:eastAsia="zh-CN"/>
        </w:rPr>
        <w:t>0755-84464555</w:t>
      </w:r>
    </w:p>
    <w:p w14:paraId="7F67CBB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乙方：</w:t>
      </w:r>
    </w:p>
    <w:p w14:paraId="40ACD70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地址：</w:t>
      </w:r>
    </w:p>
    <w:p w14:paraId="21C76AB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联系方式：</w:t>
      </w:r>
    </w:p>
    <w:p w14:paraId="1BCC91E9">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根据</w:t>
      </w:r>
      <w:r>
        <w:rPr>
          <w:rFonts w:hint="eastAsia" w:ascii="宋体" w:hAnsi="宋体" w:eastAsia="宋体" w:cs="宋体"/>
          <w:color w:val="000000"/>
          <w:kern w:val="0"/>
          <w:sz w:val="21"/>
          <w:szCs w:val="21"/>
          <w:lang w:val="en-US" w:eastAsia="zh-CN" w:bidi="ar"/>
        </w:rPr>
        <w:t>深圳市中正招标有限公示</w:t>
      </w:r>
      <w:r>
        <w:rPr>
          <w:rFonts w:hint="eastAsia" w:ascii="宋体" w:hAnsi="宋体" w:eastAsia="宋体" w:cs="宋体"/>
          <w:color w:val="000000"/>
          <w:kern w:val="0"/>
          <w:sz w:val="21"/>
          <w:szCs w:val="21"/>
          <w:lang w:bidi="ar"/>
        </w:rPr>
        <w:t>就</w:t>
      </w:r>
      <w:r>
        <w:rPr>
          <w:rFonts w:hint="eastAsia" w:ascii="宋体" w:hAnsi="宋体" w:eastAsia="宋体" w:cs="宋体"/>
          <w:b/>
          <w:bCs/>
          <w:color w:val="000000"/>
          <w:kern w:val="0"/>
          <w:sz w:val="21"/>
          <w:szCs w:val="21"/>
          <w:u w:val="single"/>
          <w:lang w:eastAsia="zh-CN" w:bidi="ar"/>
        </w:rPr>
        <w:t>治安支队综合食材配送服务项目（追加）</w:t>
      </w:r>
      <w:r>
        <w:rPr>
          <w:rFonts w:hint="eastAsia" w:ascii="宋体" w:hAnsi="宋体" w:eastAsia="宋体" w:cs="宋体"/>
          <w:color w:val="000000"/>
          <w:kern w:val="0"/>
          <w:sz w:val="21"/>
          <w:szCs w:val="21"/>
          <w:lang w:bidi="ar"/>
        </w:rPr>
        <w:t>项目（编号：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）的招标采购结果，由</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单位为中标（成交）方。按照《中华人民共和国</w:t>
      </w:r>
      <w:r>
        <w:rPr>
          <w:rFonts w:hint="eastAsia" w:ascii="宋体" w:hAnsi="宋体" w:eastAsia="宋体" w:cs="宋体"/>
          <w:color w:val="000000"/>
          <w:kern w:val="0"/>
          <w:sz w:val="21"/>
          <w:szCs w:val="21"/>
          <w:lang w:eastAsia="zh-Hans" w:bidi="ar"/>
        </w:rPr>
        <w:t>民法典</w:t>
      </w:r>
      <w:r>
        <w:rPr>
          <w:rFonts w:hint="eastAsia" w:ascii="宋体" w:hAnsi="宋体" w:eastAsia="宋体" w:cs="宋体"/>
          <w:color w:val="000000"/>
          <w:kern w:val="0"/>
          <w:sz w:val="21"/>
          <w:szCs w:val="21"/>
          <w:lang w:bidi="ar"/>
        </w:rPr>
        <w:t>》和《深圳经济特区政府采购条例》，依照采购文件和中标（成交）方的响应与承诺，就采购人</w:t>
      </w:r>
      <w:r>
        <w:rPr>
          <w:rFonts w:hint="eastAsia" w:ascii="宋体" w:hAnsi="宋体" w:eastAsia="宋体" w:cs="宋体"/>
          <w:color w:val="000000"/>
          <w:kern w:val="0"/>
          <w:sz w:val="21"/>
          <w:szCs w:val="21"/>
          <w:u w:val="single"/>
          <w:lang w:bidi="ar"/>
        </w:rPr>
        <w:t>深圳市公安局治安管理支队</w:t>
      </w:r>
      <w:r>
        <w:rPr>
          <w:rFonts w:hint="eastAsia" w:ascii="宋体" w:hAnsi="宋体" w:eastAsia="宋体" w:cs="宋体"/>
          <w:color w:val="000000"/>
          <w:kern w:val="0"/>
          <w:sz w:val="21"/>
          <w:szCs w:val="21"/>
          <w:lang w:bidi="ar"/>
        </w:rPr>
        <w:t>（以下简称甲方）委托中标（成交）方</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 xml:space="preserve">（以下简称乙方）承担服务项目，经甲乙双方协商、确定，达成以下合同条款： </w:t>
      </w:r>
    </w:p>
    <w:p w14:paraId="0CB51EBD">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一、项目概况</w:t>
      </w:r>
    </w:p>
    <w:p w14:paraId="422797BB">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b/>
          <w:bCs/>
          <w:color w:val="000000"/>
          <w:kern w:val="0"/>
          <w:sz w:val="21"/>
          <w:szCs w:val="21"/>
          <w:u w:val="single"/>
          <w:lang w:eastAsia="zh-CN" w:bidi="ar"/>
        </w:rPr>
        <w:t>治安支队综合食材配送服务项目（追加）</w:t>
      </w:r>
    </w:p>
    <w:p w14:paraId="047D0FD4">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sz w:val="21"/>
          <w:szCs w:val="21"/>
        </w:rPr>
        <w:t>二、项目内容</w:t>
      </w:r>
    </w:p>
    <w:p w14:paraId="389A5E2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本项目采购范围为</w:t>
      </w:r>
      <w:r>
        <w:rPr>
          <w:rFonts w:hint="eastAsia" w:ascii="宋体" w:hAnsi="宋体" w:eastAsia="宋体" w:cs="宋体"/>
          <w:color w:val="000000"/>
          <w:kern w:val="0"/>
          <w:sz w:val="21"/>
          <w:szCs w:val="21"/>
          <w:lang w:bidi="ar"/>
        </w:rPr>
        <w:t xml:space="preserve">蔬菜、水果、鲜肉、冻品、水产品、副食品、干货、杂货、调料等综合食材，非食材类食堂日用品不在本合同采购范围内。 </w:t>
      </w:r>
    </w:p>
    <w:p w14:paraId="3D2D9545">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sz w:val="21"/>
          <w:szCs w:val="21"/>
        </w:rPr>
        <w:t>三、定价与结算</w:t>
      </w:r>
    </w:p>
    <w:p w14:paraId="072BD9A5">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Hans"/>
        </w:rPr>
        <w:t>一</w:t>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产品</w:t>
      </w:r>
      <w:r>
        <w:rPr>
          <w:rFonts w:hint="eastAsia" w:ascii="宋体" w:hAnsi="宋体" w:eastAsia="宋体" w:cs="宋体"/>
          <w:sz w:val="21"/>
          <w:szCs w:val="21"/>
        </w:rPr>
        <w:t>报价以中农数据食堂采配平台（网址：www.chinaap.com）</w:t>
      </w:r>
      <w:r>
        <w:rPr>
          <w:rFonts w:hint="eastAsia" w:ascii="宋体" w:hAnsi="宋体" w:eastAsia="宋体" w:cs="宋体"/>
          <w:color w:val="000000"/>
          <w:kern w:val="0"/>
          <w:sz w:val="21"/>
          <w:szCs w:val="21"/>
          <w:lang w:bidi="ar"/>
        </w:rPr>
        <w:t>每月 5、15、25 号公布的粗加工报价表取三天的平均值（平均值精确到分，即小数点后两位）确定各项物资的基准价</w:t>
      </w:r>
      <w:r>
        <w:rPr>
          <w:rFonts w:hint="eastAsia" w:ascii="宋体" w:hAnsi="宋体" w:eastAsia="宋体" w:cs="宋体"/>
          <w:sz w:val="21"/>
          <w:szCs w:val="21"/>
        </w:rPr>
        <w:t>，</w:t>
      </w:r>
      <w:r>
        <w:rPr>
          <w:rFonts w:hint="eastAsia" w:ascii="宋体" w:hAnsi="宋体" w:eastAsia="宋体" w:cs="宋体"/>
          <w:b/>
          <w:bCs/>
          <w:sz w:val="21"/>
          <w:szCs w:val="21"/>
          <w:u w:val="single"/>
        </w:rPr>
        <w:t>结算时价格=基准价×</w:t>
      </w:r>
      <w:r>
        <w:rPr>
          <w:rFonts w:hint="eastAsia" w:ascii="宋体" w:hAnsi="宋体" w:eastAsia="宋体" w:cs="宋体"/>
          <w:b/>
          <w:bCs/>
          <w:color w:val="000000"/>
          <w:kern w:val="0"/>
          <w:sz w:val="21"/>
          <w:szCs w:val="21"/>
          <w:u w:val="single"/>
          <w:lang w:val="en-US" w:eastAsia="zh-CN" w:bidi="ar"/>
        </w:rPr>
        <w:t>折扣率</w:t>
      </w:r>
      <w:r>
        <w:rPr>
          <w:rFonts w:hint="eastAsia" w:ascii="宋体" w:hAnsi="宋体" w:eastAsia="宋体" w:cs="宋体"/>
          <w:b/>
          <w:bCs/>
          <w:sz w:val="21"/>
          <w:szCs w:val="21"/>
        </w:rPr>
        <w:t xml:space="preserve"> </w:t>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除精品蔬菜瓜果类、精品鲜肉类产品外，中农数据食堂采配平台其他类别产品直接按中农数据食堂采配平台价格结算。中农数据食堂采配平台中无价格产品，则</w:t>
      </w:r>
      <w:r>
        <w:rPr>
          <w:rFonts w:hint="eastAsia" w:ascii="宋体" w:hAnsi="宋体" w:eastAsia="宋体" w:cs="宋体"/>
          <w:b/>
          <w:bCs/>
          <w:color w:val="000000"/>
          <w:kern w:val="0"/>
          <w:sz w:val="21"/>
          <w:szCs w:val="21"/>
          <w:u w:val="single"/>
          <w:lang w:bidi="ar"/>
        </w:rPr>
        <w:t>结算时价格=市场价*</w:t>
      </w:r>
      <w:r>
        <w:rPr>
          <w:rFonts w:hint="eastAsia" w:ascii="宋体" w:hAnsi="宋体" w:eastAsia="宋体" w:cs="宋体"/>
          <w:b/>
          <w:bCs/>
          <w:color w:val="000000"/>
          <w:kern w:val="0"/>
          <w:sz w:val="21"/>
          <w:szCs w:val="21"/>
          <w:u w:val="single"/>
          <w:lang w:val="en-US" w:eastAsia="zh-CN" w:bidi="ar"/>
        </w:rPr>
        <w:t>折扣率</w:t>
      </w:r>
      <w:r>
        <w:rPr>
          <w:rFonts w:hint="eastAsia" w:ascii="宋体" w:hAnsi="宋体" w:eastAsia="宋体" w:cs="宋体"/>
          <w:b/>
          <w:bCs/>
          <w:color w:val="000000"/>
          <w:kern w:val="0"/>
          <w:sz w:val="21"/>
          <w:szCs w:val="21"/>
          <w:lang w:bidi="ar"/>
        </w:rPr>
        <w:t>。</w:t>
      </w:r>
      <w:r>
        <w:rPr>
          <w:rFonts w:hint="eastAsia" w:ascii="宋体" w:hAnsi="宋体" w:eastAsia="宋体" w:cs="宋体"/>
          <w:color w:val="000000"/>
          <w:kern w:val="0"/>
          <w:sz w:val="21"/>
          <w:szCs w:val="21"/>
          <w:lang w:bidi="ar"/>
        </w:rPr>
        <w:t>（市场价甲方和乙方组成价格调查小组，到实体商场、菜市场等现场调研决定）</w:t>
      </w:r>
    </w:p>
    <w:p w14:paraId="3B79096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Hans"/>
        </w:rPr>
        <w:t>二</w:t>
      </w:r>
      <w:r>
        <w:rPr>
          <w:rFonts w:hint="eastAsia" w:ascii="宋体" w:hAnsi="宋体" w:eastAsia="宋体" w:cs="宋体"/>
          <w:sz w:val="21"/>
          <w:szCs w:val="21"/>
        </w:rPr>
        <w:t>）食材款总金额上限为</w:t>
      </w:r>
      <w:r>
        <w:rPr>
          <w:rFonts w:hint="eastAsia" w:ascii="宋体" w:hAnsi="宋体" w:eastAsia="宋体" w:cs="宋体"/>
          <w:sz w:val="21"/>
          <w:szCs w:val="21"/>
          <w:u w:val="single"/>
        </w:rPr>
        <w:t>人民币</w:t>
      </w:r>
      <w:r>
        <w:rPr>
          <w:rFonts w:hint="eastAsia" w:ascii="宋体" w:hAnsi="宋体" w:eastAsia="宋体" w:cs="宋体"/>
          <w:sz w:val="21"/>
          <w:szCs w:val="21"/>
          <w:u w:val="single"/>
          <w:lang w:val="en-US" w:eastAsia="zh-CN"/>
        </w:rPr>
        <w:t>39.69</w:t>
      </w:r>
      <w:r>
        <w:rPr>
          <w:rFonts w:hint="eastAsia" w:ascii="宋体" w:hAnsi="宋体" w:eastAsia="宋体" w:cs="宋体"/>
          <w:sz w:val="21"/>
          <w:szCs w:val="21"/>
          <w:u w:val="single"/>
        </w:rPr>
        <w:t>万元</w:t>
      </w:r>
      <w:r>
        <w:rPr>
          <w:rFonts w:hint="eastAsia" w:ascii="宋体" w:hAnsi="宋体" w:eastAsia="宋体" w:cs="宋体"/>
          <w:sz w:val="21"/>
          <w:szCs w:val="21"/>
        </w:rPr>
        <w:t>，超出的部分甲方不予支付，具体费用以最后以实际结算为准。</w:t>
      </w:r>
    </w:p>
    <w:p w14:paraId="481A504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eastAsia="zh-Hans"/>
        </w:rPr>
        <w:t>三</w:t>
      </w:r>
      <w:r>
        <w:rPr>
          <w:rFonts w:hint="eastAsia" w:ascii="宋体" w:hAnsi="宋体" w:eastAsia="宋体" w:cs="宋体"/>
          <w:bCs/>
          <w:sz w:val="21"/>
          <w:szCs w:val="21"/>
        </w:rPr>
        <w:t>）费用结算按月进行。双方凭采购合同、送货单及签收确认单等资料于次月15日前核对结算上月款项。结算前乙方需按照双方约定价格计算方式和确定的品种、数量等开具正式发票。</w:t>
      </w:r>
    </w:p>
    <w:p w14:paraId="5FA861E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sz w:val="21"/>
          <w:szCs w:val="21"/>
          <w:lang w:eastAsia="zh-Hans"/>
        </w:rPr>
        <w:t>四</w:t>
      </w:r>
      <w:r>
        <w:rPr>
          <w:rFonts w:hint="eastAsia" w:ascii="宋体" w:hAnsi="宋体" w:eastAsia="宋体" w:cs="宋体"/>
          <w:sz w:val="21"/>
          <w:szCs w:val="21"/>
        </w:rPr>
        <w:t>）乙方所有物资的报价包括供应产品和产品运输到使用单位的服务费、运费、装卸费、检测费、人工费、管理费、税金等一切可能发生的费用。以人民币为报价和结算单位，并开具国家正规发票。</w:t>
      </w:r>
    </w:p>
    <w:p w14:paraId="33A9844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eastAsia="zh-Hans"/>
        </w:rPr>
        <w:t>五</w:t>
      </w:r>
      <w:r>
        <w:rPr>
          <w:rFonts w:hint="eastAsia" w:ascii="宋体" w:hAnsi="宋体" w:eastAsia="宋体" w:cs="宋体"/>
          <w:bCs/>
          <w:sz w:val="21"/>
          <w:szCs w:val="21"/>
        </w:rPr>
        <w:t>）付</w:t>
      </w:r>
      <w:r>
        <w:rPr>
          <w:rFonts w:hint="eastAsia" w:ascii="宋体" w:hAnsi="宋体" w:eastAsia="宋体" w:cs="宋体"/>
          <w:sz w:val="21"/>
          <w:szCs w:val="21"/>
        </w:rPr>
        <w:t>款方式：甲方</w:t>
      </w:r>
      <w:r>
        <w:rPr>
          <w:rFonts w:hint="eastAsia" w:ascii="宋体" w:hAnsi="宋体" w:eastAsia="宋体" w:cs="宋体"/>
          <w:sz w:val="21"/>
          <w:szCs w:val="21"/>
          <w:lang w:eastAsia="zh-Hans"/>
        </w:rPr>
        <w:t>完成费用结算核对且</w:t>
      </w:r>
      <w:r>
        <w:rPr>
          <w:rFonts w:hint="eastAsia" w:ascii="宋体" w:hAnsi="宋体" w:eastAsia="宋体" w:cs="宋体"/>
          <w:sz w:val="21"/>
          <w:szCs w:val="21"/>
        </w:rPr>
        <w:t>收到发票后10个工作日内按照国库集资支付制度和程序以银行转账的方式直接划转至乙方名下的银行账户。乙方开户信息如下：</w:t>
      </w:r>
    </w:p>
    <w:p w14:paraId="62C70E9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开户名称：</w:t>
      </w:r>
    </w:p>
    <w:p w14:paraId="2DEF47F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14:paraId="64F53C0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开户账号：</w:t>
      </w:r>
    </w:p>
    <w:p w14:paraId="1572A7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Hans"/>
        </w:rPr>
      </w:pPr>
      <w:r>
        <w:rPr>
          <w:rFonts w:hint="eastAsia" w:ascii="宋体" w:hAnsi="宋体" w:eastAsia="宋体" w:cs="宋体"/>
          <w:sz w:val="21"/>
          <w:szCs w:val="21"/>
        </w:rPr>
        <w:t>（</w:t>
      </w:r>
      <w:r>
        <w:rPr>
          <w:rFonts w:hint="eastAsia" w:ascii="宋体" w:hAnsi="宋体" w:eastAsia="宋体" w:cs="宋体"/>
          <w:sz w:val="21"/>
          <w:szCs w:val="21"/>
          <w:lang w:eastAsia="zh-Hans"/>
        </w:rPr>
        <w:t>六）甲方按照相关程序提交财政支付申办手续即视为已履行支付义务，如因政府有关部门超期审批等原因造成甲方付款迟延的，不视为甲方违约。</w:t>
      </w:r>
    </w:p>
    <w:p w14:paraId="2604D19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color w:val="000000"/>
          <w:sz w:val="21"/>
          <w:szCs w:val="21"/>
        </w:rPr>
        <w:t>四、甲方的权利与义务</w:t>
      </w:r>
    </w:p>
    <w:p w14:paraId="7B72A4B9">
      <w:pPr>
        <w:keepNext w:val="0"/>
        <w:keepLines w:val="0"/>
        <w:pageBreakBefore w:val="0"/>
        <w:kinsoku/>
        <w:wordWrap/>
        <w:overflowPunct/>
        <w:topLinePunct w:val="0"/>
        <w:autoSpaceDE/>
        <w:autoSpaceDN/>
        <w:bidi w:val="0"/>
        <w:adjustRightInd w:val="0"/>
        <w:snapToGrid w:val="0"/>
        <w:spacing w:line="360" w:lineRule="auto"/>
        <w:ind w:firstLine="478" w:firstLineChars="228"/>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（一）甲方根据食堂的用餐人数、供餐标准做好食品原料等物资采购计划，以双方约定的方式于当日下午19时前提交乙方进行采购。</w:t>
      </w:r>
    </w:p>
    <w:p w14:paraId="5249A63E">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如遇甲方临时加餐需临时补货时，甲方要及时通知乙方补送。乙方按照相关应急保障方案要求，在接到通知后1小时内送达甲方食堂。</w:t>
      </w:r>
    </w:p>
    <w:p w14:paraId="482D954C">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（二）甲方有权指定食堂所用食品的品牌、质量、数量。因甲方原因造成原料名称、数量、规格等错误而造成的失误，乙方不承担责任。</w:t>
      </w:r>
    </w:p>
    <w:p w14:paraId="6774035E">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（三）乙方每次送货到甲方食堂时，甲方需派专人到现场对乙方所送物资进行过秤验收，并在送货单上签字确认。</w:t>
      </w:r>
    </w:p>
    <w:p w14:paraId="11AF2F82">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（四）甲方对不符合规格要求的食品原料等物资，可要求退换或拒收，乙方应无条件接受。</w:t>
      </w:r>
      <w:r>
        <w:rPr>
          <w:rFonts w:hint="eastAsia" w:ascii="宋体" w:hAnsi="宋体" w:eastAsia="宋体" w:cs="宋体"/>
          <w:color w:val="000000"/>
          <w:sz w:val="21"/>
          <w:szCs w:val="21"/>
          <w:lang w:eastAsia="zh-Hans"/>
        </w:rPr>
        <w:t>如</w:t>
      </w:r>
      <w:r>
        <w:rPr>
          <w:rFonts w:hint="eastAsia" w:ascii="宋体" w:hAnsi="宋体" w:eastAsia="宋体" w:cs="宋体"/>
          <w:bCs/>
          <w:sz w:val="21"/>
          <w:szCs w:val="21"/>
          <w:lang w:eastAsia="zh-Hans"/>
        </w:rPr>
        <w:t>乙方未在甲方要求时间内退换或重新交付的，并且影响到甲方的正常供餐时，乙方应承甲方因此造成的损失，包括但不限于甲方委托第三方提供货物的费用。</w:t>
      </w:r>
    </w:p>
    <w:p w14:paraId="15906A51">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（五）甲方要及时结算和支付食材费用。甲方已提请支付，因审批流程和银行支付系统原因造成的延误，不视为违约。</w:t>
      </w:r>
    </w:p>
    <w:p w14:paraId="4A155F04">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甲方有权对乙方配送的各类物品自行或者委托第三方检测机构进行抽检，按国家有关标准，若检测不合格，甲方予以书面警告，并对该批货物予以没收销毁，不必退还乙方并支付相关费用；书面警告后再出现同样情况，视情况严重性，甲方有权单方解除服务合同且无需承担任何责任，乙方应承担相应责任并支付当天总货款10％的违约金。</w:t>
      </w:r>
    </w:p>
    <w:p w14:paraId="5AA55043">
      <w:pPr>
        <w:keepNext w:val="0"/>
        <w:keepLines w:val="0"/>
        <w:pageBreakBefore w:val="0"/>
        <w:tabs>
          <w:tab w:val="left" w:pos="90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乙方若因采购物资现场初加工的实际需要，甲方可提供初加工操作场地，乙方派遣加工人员应服从甲方的管理，严格遵守国家的有关法律法规。若有违反，首次发现甲方将予以书面警告；屡禁不止、情节严重的，甲方有权单方解除服务合同且无需承担任何责任。</w:t>
      </w:r>
    </w:p>
    <w:p w14:paraId="3505BFB5">
      <w:pPr>
        <w:keepNext w:val="0"/>
        <w:keepLines w:val="0"/>
        <w:pageBreakBefore w:val="0"/>
        <w:tabs>
          <w:tab w:val="left" w:pos="900"/>
        </w:tabs>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五、货物服务要求</w:t>
      </w:r>
    </w:p>
    <w:p w14:paraId="3FDB514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Hans"/>
        </w:rPr>
        <w:t>一）</w:t>
      </w:r>
      <w:r>
        <w:rPr>
          <w:rFonts w:hint="eastAsia" w:ascii="宋体" w:hAnsi="宋体" w:eastAsia="宋体" w:cs="宋体"/>
          <w:sz w:val="21"/>
          <w:szCs w:val="21"/>
        </w:rPr>
        <w:t>乙方配送的物品应到符合以下要求，并符合国家和省市有关食品安全管理相关规定和要求：</w:t>
      </w:r>
    </w:p>
    <w:p w14:paraId="02B68E1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（1）配送食品全部经过国家规定的职能部门检验并有检测报告，安全可靠，从来未出现配送食品安全事故，并出具相关承诺书。 </w:t>
      </w:r>
    </w:p>
    <w:p w14:paraId="5792BE75">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（2）乙方配送的蔬菜、肉类、食材必须符合国家卫生标准，并且保证质量，不得有腐烂、变质物品。 </w:t>
      </w:r>
    </w:p>
    <w:p w14:paraId="0FAB6BD0">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3）所送货品有保质期的离保质期结束至少还剩三分之一时间，要求包装完整、无外漏。招标人对不符合质量要求的货品可作退货或换货处理，并追究投标人相关责任。凡属于质量问题必须包退包换，退补货品需在 1 小时内补给，不能影响甲方正常供餐。 </w:t>
      </w:r>
    </w:p>
    <w:p w14:paraId="63D94B6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（4）若因乙方配送食品、食材导致甲方出现食物事故时，经卫生防疫站检验，证明确属于乙方造成的，乙方必须承担经济与法律上的全部责任。  </w:t>
      </w:r>
    </w:p>
    <w:p w14:paraId="2B90DF89">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（5）如配送的货物不符合要求，一次提出口头警告并要求供应商做出书面保证，二次扣当天货款 10%，不符合要求达到三次的，甲方可取消其当期供货资格、解除供货合同。 </w:t>
      </w:r>
    </w:p>
    <w:p w14:paraId="0C44392A">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二）</w:t>
      </w:r>
      <w:r>
        <w:rPr>
          <w:rFonts w:hint="eastAsia" w:ascii="宋体" w:hAnsi="宋体" w:eastAsia="宋体" w:cs="宋体"/>
          <w:color w:val="000000"/>
          <w:kern w:val="0"/>
          <w:sz w:val="21"/>
          <w:szCs w:val="21"/>
          <w:lang w:bidi="ar"/>
        </w:rPr>
        <w:t xml:space="preserve">数量要求： </w:t>
      </w:r>
    </w:p>
    <w:p w14:paraId="6A3B3083">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甲方和乙方在食品数量验收方面必须严格执行，不能弄虚作假，必须保证配送品种斤两的准确性，以甲方的验货数量为准，乙方每次随货送上一式两份的送货清单,供双方验货后签字确认，双方各持一份，作为送、收货的凭证。专门派一名员工跟单办理业务，按食堂每天制订的采购单进行配送。 </w:t>
      </w:r>
    </w:p>
    <w:p w14:paraId="0E7707C4">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三）</w:t>
      </w:r>
      <w:r>
        <w:rPr>
          <w:rFonts w:hint="eastAsia" w:ascii="宋体" w:hAnsi="宋体" w:eastAsia="宋体" w:cs="宋体"/>
          <w:color w:val="000000"/>
          <w:kern w:val="0"/>
          <w:sz w:val="21"/>
          <w:szCs w:val="21"/>
          <w:lang w:bidi="ar"/>
        </w:rPr>
        <w:t xml:space="preserve">时间要求： </w:t>
      </w:r>
    </w:p>
    <w:p w14:paraId="68F37FF7">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（1) 需保证</w:t>
      </w:r>
      <w:r>
        <w:rPr>
          <w:rFonts w:hint="eastAsia" w:ascii="宋体" w:hAnsi="宋体" w:cs="宋体"/>
          <w:color w:val="000000"/>
          <w:kern w:val="0"/>
          <w:sz w:val="21"/>
          <w:szCs w:val="21"/>
          <w:lang w:eastAsia="zh-CN" w:bidi="ar"/>
        </w:rPr>
        <w:t>合同服务期限内每天</w:t>
      </w:r>
      <w:r>
        <w:rPr>
          <w:rFonts w:hint="eastAsia" w:ascii="宋体" w:hAnsi="宋体" w:eastAsia="宋体" w:cs="宋体"/>
          <w:color w:val="000000"/>
          <w:kern w:val="0"/>
          <w:sz w:val="21"/>
          <w:szCs w:val="21"/>
          <w:lang w:bidi="ar"/>
        </w:rPr>
        <w:t xml:space="preserve">均能送货。 </w:t>
      </w:r>
    </w:p>
    <w:p w14:paraId="2BC5D785">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 必须在周一至周五上午5：20分前；周六、日（节假日）5：40分前把所配送的食品按质按量送达指定地点，由食堂工作人员验收核对后入库。超出约定时间 30 分钟，则将扣除当日货款 10%违约处罚。如招标人对货物验收不合格导致退货的，投标人必须于当日内安排重新送货上门。 </w:t>
      </w:r>
    </w:p>
    <w:p w14:paraId="6175A21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（3) 甲方有需临时加送菜品（提前 2 小时通知乙方），乙方必须无条件按时送达。 </w:t>
      </w:r>
    </w:p>
    <w:p w14:paraId="4EF8983C">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（4) 若有特殊情况，需提前通知甲方。在通知甲方后，乙方配送到达时间不得超过约定时间 1 小时；如乙方在规定时间内没有配送到，给甲方带来一切经济后果将由乙方承担。 </w:t>
      </w:r>
    </w:p>
    <w:p w14:paraId="52C60F7C">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四）</w:t>
      </w:r>
      <w:r>
        <w:rPr>
          <w:rFonts w:hint="eastAsia" w:ascii="宋体" w:hAnsi="宋体" w:eastAsia="宋体" w:cs="宋体"/>
          <w:color w:val="000000"/>
          <w:kern w:val="0"/>
          <w:sz w:val="21"/>
          <w:szCs w:val="21"/>
          <w:lang w:bidi="ar"/>
        </w:rPr>
        <w:t xml:space="preserve">品牌及品种调整： </w:t>
      </w:r>
    </w:p>
    <w:p w14:paraId="796C81E8">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如遇所投品牌或品种停止生产经营，或产地发生台风、海啸等不可抗力的自然灾害导致无法配送的， 乙方负责举证并提出书面申请和相应的解决方案，甲方应当成立讨论小组商决应对方案。 使用单位如需临时增加采购货品清单以外货物的，结算按中农数据网该货物当天价格乘于</w:t>
      </w:r>
      <w:r>
        <w:rPr>
          <w:rFonts w:hint="eastAsia" w:ascii="宋体" w:hAnsi="宋体" w:eastAsia="宋体" w:cs="宋体"/>
          <w:b/>
          <w:bCs/>
          <w:color w:val="000000"/>
          <w:kern w:val="0"/>
          <w:sz w:val="21"/>
          <w:szCs w:val="21"/>
          <w:lang w:bidi="ar"/>
        </w:rPr>
        <w:t>结算折扣率。</w:t>
      </w:r>
      <w:r>
        <w:rPr>
          <w:rFonts w:hint="eastAsia" w:ascii="宋体" w:hAnsi="宋体" w:eastAsia="宋体" w:cs="宋体"/>
          <w:color w:val="000000"/>
          <w:kern w:val="0"/>
          <w:sz w:val="21"/>
          <w:szCs w:val="21"/>
          <w:lang w:bidi="ar"/>
        </w:rPr>
        <w:t xml:space="preserve">如遇中农数据网无相关报价的，以使用单位人组织到大型超市或农贸市场进行考察确定价格的合理性。 </w:t>
      </w:r>
    </w:p>
    <w:p w14:paraId="53EBCFC6">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五）</w:t>
      </w:r>
      <w:r>
        <w:rPr>
          <w:rFonts w:hint="eastAsia" w:ascii="宋体" w:hAnsi="宋体" w:eastAsia="宋体" w:cs="宋体"/>
          <w:color w:val="000000"/>
          <w:kern w:val="0"/>
          <w:sz w:val="21"/>
          <w:szCs w:val="21"/>
          <w:lang w:bidi="ar"/>
        </w:rPr>
        <w:t xml:space="preserve">责任界定: </w:t>
      </w:r>
    </w:p>
    <w:p w14:paraId="5BE626E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乙方的食品必须符合国家有关部门规定的食品安全标准，如果因投乙方所供货的食品造成招标人就餐人员食物中毒的，经卫生防疫部门鉴定，属乙方责任，乙方须承担全部法律责任并作出全部的经济赔偿。 乙方的粗加工人员和配送人员在服务过程中如遇到人员伤亡事故由乙方负全部责任，与甲方无关。 </w:t>
      </w:r>
    </w:p>
    <w:p w14:paraId="41487F7B">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eastAsia="zh-Hans" w:bidi="ar"/>
        </w:rPr>
        <w:t>六）</w:t>
      </w:r>
      <w:r>
        <w:rPr>
          <w:rFonts w:hint="eastAsia" w:ascii="宋体" w:hAnsi="宋体" w:eastAsia="宋体" w:cs="宋体"/>
          <w:color w:val="000000"/>
          <w:kern w:val="0"/>
          <w:sz w:val="21"/>
          <w:szCs w:val="21"/>
          <w:lang w:bidi="ar"/>
        </w:rPr>
        <w:t xml:space="preserve">其他要求： </w:t>
      </w:r>
    </w:p>
    <w:p w14:paraId="786078DE">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（1）乙方定期附送科学健康饮食报刊。 </w:t>
      </w:r>
    </w:p>
    <w:p w14:paraId="2C14E88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kern w:val="0"/>
          <w:sz w:val="21"/>
          <w:szCs w:val="21"/>
          <w:lang w:bidi="ar"/>
        </w:rPr>
        <w:t xml:space="preserve">（2）乙方定期有温馨提示，提示哪些蔬菜瓜果质量较差，哪些价格涨幅大等信息。 </w:t>
      </w:r>
    </w:p>
    <w:p w14:paraId="551FF94B">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color w:val="000000"/>
          <w:sz w:val="21"/>
          <w:szCs w:val="21"/>
        </w:rPr>
        <w:t>六、</w:t>
      </w:r>
      <w:r>
        <w:rPr>
          <w:rFonts w:hint="eastAsia" w:ascii="宋体" w:hAnsi="宋体" w:eastAsia="宋体" w:cs="宋体"/>
          <w:b/>
          <w:sz w:val="21"/>
          <w:szCs w:val="21"/>
        </w:rPr>
        <w:t>服务时间</w:t>
      </w:r>
    </w:p>
    <w:p w14:paraId="5CC29E36">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1、本项目服务期限为自合同签订之日起</w:t>
      </w:r>
      <w:r>
        <w:rPr>
          <w:rFonts w:hint="eastAsia" w:ascii="宋体" w:hAnsi="宋体" w:eastAsia="宋体" w:cs="宋体"/>
          <w:sz w:val="21"/>
          <w:szCs w:val="21"/>
          <w:lang w:val="en-US" w:eastAsia="zh-CN"/>
        </w:rPr>
        <w:t>3个月</w:t>
      </w:r>
      <w:r>
        <w:rPr>
          <w:rFonts w:hint="eastAsia" w:ascii="宋体" w:hAnsi="宋体" w:eastAsia="宋体" w:cs="宋体"/>
          <w:sz w:val="21"/>
          <w:szCs w:val="21"/>
        </w:rPr>
        <w:t>。若服务期限未到，实际支付金额达到人民币</w:t>
      </w:r>
      <w:r>
        <w:rPr>
          <w:rFonts w:hint="eastAsia" w:ascii="宋体" w:hAnsi="宋体" w:eastAsia="宋体" w:cs="宋体"/>
          <w:sz w:val="21"/>
          <w:szCs w:val="21"/>
          <w:lang w:val="en-US" w:eastAsia="zh-CN"/>
        </w:rPr>
        <w:t>叁拾玖万陆仟玖佰</w:t>
      </w:r>
      <w:r>
        <w:rPr>
          <w:rFonts w:hint="eastAsia" w:ascii="宋体" w:hAnsi="宋体" w:eastAsia="宋体" w:cs="宋体"/>
          <w:sz w:val="21"/>
          <w:szCs w:val="21"/>
        </w:rPr>
        <w:t>元整（¥</w:t>
      </w:r>
      <w:r>
        <w:rPr>
          <w:rFonts w:hint="eastAsia" w:ascii="宋体" w:hAnsi="宋体" w:eastAsia="宋体" w:cs="宋体"/>
          <w:sz w:val="21"/>
          <w:szCs w:val="21"/>
          <w:lang w:val="en-US" w:eastAsia="zh-CN"/>
        </w:rPr>
        <w:t>39.69</w:t>
      </w:r>
      <w:r>
        <w:rPr>
          <w:rFonts w:hint="eastAsia" w:ascii="宋体" w:hAnsi="宋体" w:eastAsia="宋体" w:cs="宋体"/>
          <w:sz w:val="21"/>
          <w:szCs w:val="21"/>
        </w:rPr>
        <w:t>万元）时，合同提前终止；若到了服务期限，但实际支付金额还未达到人民币</w:t>
      </w:r>
      <w:r>
        <w:rPr>
          <w:rFonts w:hint="eastAsia" w:ascii="宋体" w:hAnsi="宋体" w:eastAsia="宋体" w:cs="宋体"/>
          <w:sz w:val="21"/>
          <w:szCs w:val="21"/>
          <w:lang w:val="en-US" w:eastAsia="zh-CN"/>
        </w:rPr>
        <w:t>叁拾玖万陆仟玖佰</w:t>
      </w:r>
      <w:r>
        <w:rPr>
          <w:rFonts w:hint="eastAsia" w:ascii="宋体" w:hAnsi="宋体" w:eastAsia="宋体" w:cs="宋体"/>
          <w:sz w:val="21"/>
          <w:szCs w:val="21"/>
        </w:rPr>
        <w:t>元整（¥</w:t>
      </w:r>
      <w:r>
        <w:rPr>
          <w:rFonts w:hint="eastAsia" w:ascii="宋体" w:hAnsi="宋体" w:eastAsia="宋体" w:cs="宋体"/>
          <w:sz w:val="21"/>
          <w:szCs w:val="21"/>
          <w:lang w:val="en-US" w:eastAsia="zh-CN"/>
        </w:rPr>
        <w:t>39.69</w:t>
      </w:r>
      <w:r>
        <w:rPr>
          <w:rFonts w:hint="eastAsia" w:ascii="宋体" w:hAnsi="宋体" w:eastAsia="宋体" w:cs="宋体"/>
          <w:sz w:val="21"/>
          <w:szCs w:val="21"/>
        </w:rPr>
        <w:t>万元）时，合同按时终止。</w:t>
      </w:r>
    </w:p>
    <w:p w14:paraId="46093342">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七、合同解除</w:t>
      </w:r>
    </w:p>
    <w:p w14:paraId="2E32E096">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乙方在本合同履行期限出现以下情形之一的，甲方有权直接解除本合同，同时，乙方</w:t>
      </w:r>
      <w:r>
        <w:rPr>
          <w:rFonts w:hint="eastAsia" w:ascii="宋体" w:hAnsi="宋体" w:eastAsia="宋体" w:cs="宋体"/>
          <w:color w:val="000000"/>
          <w:sz w:val="21"/>
          <w:szCs w:val="21"/>
          <w:lang w:eastAsia="zh-Hans"/>
        </w:rPr>
        <w:t>应向甲方支付</w:t>
      </w:r>
      <w:r>
        <w:rPr>
          <w:rFonts w:hint="eastAsia" w:ascii="宋体" w:hAnsi="宋体" w:eastAsia="宋体" w:cs="宋体"/>
          <w:color w:val="000000"/>
          <w:sz w:val="21"/>
          <w:szCs w:val="21"/>
        </w:rPr>
        <w:t>相当于解除合同当月货款20%的违约金：</w:t>
      </w:r>
    </w:p>
    <w:p w14:paraId="0EA33A8C">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1、未按采购需求、投标文件以及本合同要求全面履约，连续2个月履约情况评价不合格的；</w:t>
      </w:r>
    </w:p>
    <w:p w14:paraId="19C8E48D">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2、物资或服务以次充好，存在严重质量问题的一个月内达到2次的，或者未按规定出具检测报告一个月内达到3次的；</w:t>
      </w:r>
    </w:p>
    <w:p w14:paraId="1AC4AB79">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3、服务保障能力未能满足甲方需求，未能完全符合采购需求一个月内达到3次的。因台风、暴雨等不可抗力影响的除外；</w:t>
      </w:r>
    </w:p>
    <w:p w14:paraId="15BF884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4、因供应的货物质量达不到国家有关食品安全标准而造成食物中毒或其它严重后果的；</w:t>
      </w:r>
    </w:p>
    <w:p w14:paraId="22367B8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5、其他造成严重后果或恶劣影响的行为或本合同约定的其他情形。</w:t>
      </w:r>
    </w:p>
    <w:p w14:paraId="3A576664">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八、考核与评价</w:t>
      </w:r>
    </w:p>
    <w:p w14:paraId="0F7F6C56">
      <w:pPr>
        <w:pStyle w:val="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食材配送服务采用日常考核、月度考核及1年度考核的动态考核评价机制。年度考核以日常考核和月度考核为基础，是对乙方合同期内配送服务的总体评价，是甲方是否续签合同的依据。</w:t>
      </w:r>
    </w:p>
    <w:p w14:paraId="221484E0">
      <w:pPr>
        <w:pStyle w:val="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（一）日常考核。采购方根据供应商的每日配送情况进行日常考核，对供货异常情况（分为质量、时间、服务、其他等）进行逐一登记。日常考核将作为月度考核和1年度考核的重要依据。</w:t>
      </w:r>
    </w:p>
    <w:p w14:paraId="1781109B">
      <w:pPr>
        <w:pStyle w:val="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（二）月度考评。月度考评采用量化评分方式进行。每月5日前根据上月的日常考核结果进行汇总，按照《服务供应商履约评价表》进行月度考评，考评采用百分制。</w:t>
      </w:r>
    </w:p>
    <w:p w14:paraId="240C0A79">
      <w:pPr>
        <w:pStyle w:val="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（三）年度考评（合同期考评）。根据月度考评的结果，对月度考核评分进行汇总统计，对供应商1年进行一次总评。并将结果反馈供应商。</w:t>
      </w:r>
    </w:p>
    <w:p w14:paraId="69F2D545">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rPr>
        <w:t>相关考核评价表格和要求参见附件。</w:t>
      </w:r>
    </w:p>
    <w:p w14:paraId="1B606F00">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b/>
          <w:bCs/>
          <w:sz w:val="21"/>
          <w:szCs w:val="21"/>
        </w:rPr>
      </w:pPr>
      <w:r>
        <w:rPr>
          <w:rFonts w:hint="eastAsia" w:ascii="宋体" w:hAnsi="宋体" w:eastAsia="宋体" w:cs="宋体"/>
          <w:b/>
          <w:bCs/>
          <w:sz w:val="21"/>
          <w:szCs w:val="21"/>
        </w:rPr>
        <w:t>九、保密条款</w:t>
      </w:r>
    </w:p>
    <w:p w14:paraId="1E9833B3">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rPr>
        <w:t>（一）乙方在履行合同中所知悉的甲方未经公开的所有信息，包括往来文件资料、菜品种类和价格等，未经甲方书面同意，乙方不得向任何第三方泄露。</w:t>
      </w:r>
    </w:p>
    <w:p w14:paraId="01121172">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rPr>
        <w:t>（二）甲方与乙方签订关于本合同项目的保密协议，乙方必须与本合同项目的所有人员签订保密协议，并将协议报甲方备案。</w:t>
      </w:r>
    </w:p>
    <w:p w14:paraId="111FBEF4">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rPr>
        <w:t>（三）乙方及其内部工作人员根据本条规定承担的保密义务不因本合同的无效、解除、终止而免除。</w:t>
      </w:r>
    </w:p>
    <w:p w14:paraId="0AD86528">
      <w:pPr>
        <w:keepNext w:val="0"/>
        <w:keepLines w:val="0"/>
        <w:pageBreakBefore w:val="0"/>
        <w:kinsoku/>
        <w:wordWrap/>
        <w:overflowPunct/>
        <w:topLinePunct w:val="0"/>
        <w:autoSpaceDE/>
        <w:autoSpaceDN/>
        <w:bidi w:val="0"/>
        <w:spacing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rPr>
        <w:t>（四）乙方及其内部工作人员向任何第三方泄露甲方未经公开的信息，不管是公司或者个人行为，均视为违反保密义务，经调查属实的，扣除当月货款20%的款项作为违约金，造成甲方声誉受损或者严重影响的，乙方应赔偿因此造成的甲方所有损失，甲方有权直接解除本服务合同，并保留追究乙方法律责任的权利。</w:t>
      </w:r>
    </w:p>
    <w:p w14:paraId="691BDDEC">
      <w:pPr>
        <w:keepNext w:val="0"/>
        <w:keepLines w:val="0"/>
        <w:pageBreakBefore w:val="0"/>
        <w:widowControl/>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十、其他约定</w:t>
      </w:r>
    </w:p>
    <w:p w14:paraId="13840AC4">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（一）该项目招投标文件相关要求和承诺构成本合同内容，如存在抵触的，</w:t>
      </w:r>
      <w:r>
        <w:rPr>
          <w:rFonts w:hint="eastAsia" w:ascii="宋体" w:hAnsi="宋体" w:eastAsia="宋体" w:cs="宋体"/>
          <w:sz w:val="21"/>
          <w:szCs w:val="21"/>
          <w:lang w:eastAsia="zh-Hans"/>
        </w:rPr>
        <w:t>实质性条款以招投标文件为准，其余条款以文件生效时间在后的为准</w:t>
      </w:r>
      <w:r>
        <w:rPr>
          <w:rFonts w:hint="eastAsia" w:ascii="宋体" w:hAnsi="宋体" w:eastAsia="宋体" w:cs="宋体"/>
          <w:color w:val="000000"/>
          <w:sz w:val="21"/>
          <w:szCs w:val="21"/>
        </w:rPr>
        <w:t>。本合同如有</w:t>
      </w:r>
      <w:r>
        <w:rPr>
          <w:rFonts w:hint="eastAsia" w:ascii="宋体" w:hAnsi="宋体" w:eastAsia="宋体" w:cs="宋体"/>
          <w:sz w:val="21"/>
          <w:szCs w:val="21"/>
        </w:rPr>
        <w:t>未尽事宜，由甲乙双方协商确定</w:t>
      </w:r>
      <w:r>
        <w:rPr>
          <w:rFonts w:hint="eastAsia" w:ascii="宋体" w:hAnsi="宋体" w:eastAsia="宋体" w:cs="宋体"/>
          <w:color w:val="000000"/>
          <w:sz w:val="21"/>
          <w:szCs w:val="21"/>
        </w:rPr>
        <w:t>。</w:t>
      </w:r>
    </w:p>
    <w:p w14:paraId="573AEF8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（二）若本合同发生争议，由甲乙双方协商解决；协商不成的，任何一方可向有管辖权的人民法院提起诉讼。</w:t>
      </w:r>
    </w:p>
    <w:p w14:paraId="0FB2D3A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Hans"/>
        </w:rPr>
        <w:t>三）</w:t>
      </w:r>
      <w:r>
        <w:rPr>
          <w:rFonts w:hint="eastAsia" w:ascii="宋体" w:hAnsi="宋体" w:eastAsia="宋体" w:cs="宋体"/>
          <w:sz w:val="21"/>
          <w:szCs w:val="21"/>
        </w:rPr>
        <w:t>本合同</w:t>
      </w:r>
      <w:r>
        <w:rPr>
          <w:rFonts w:hint="eastAsia" w:ascii="宋体" w:hAnsi="宋体" w:eastAsia="宋体" w:cs="宋体"/>
          <w:sz w:val="21"/>
          <w:szCs w:val="21"/>
          <w:lang w:eastAsia="zh-Hans"/>
        </w:rPr>
        <w:t>自</w:t>
      </w:r>
      <w:r>
        <w:rPr>
          <w:rFonts w:hint="eastAsia" w:ascii="宋体" w:hAnsi="宋体" w:eastAsia="宋体" w:cs="宋体"/>
          <w:sz w:val="21"/>
          <w:szCs w:val="21"/>
        </w:rPr>
        <w:t>双方法定代表人或授权代表签字并盖章之日起生效，</w:t>
      </w:r>
      <w:r>
        <w:rPr>
          <w:rFonts w:hint="eastAsia" w:ascii="宋体" w:hAnsi="宋体" w:eastAsia="宋体" w:cs="宋体"/>
          <w:sz w:val="21"/>
          <w:szCs w:val="21"/>
          <w:lang w:eastAsia="zh-Hans"/>
        </w:rPr>
        <w:t>本合同</w:t>
      </w:r>
      <w:r>
        <w:rPr>
          <w:rFonts w:hint="eastAsia" w:ascii="宋体" w:hAnsi="宋体" w:eastAsia="宋体" w:cs="宋体"/>
          <w:sz w:val="21"/>
          <w:szCs w:val="21"/>
        </w:rPr>
        <w:t>一式肆份，甲乙双方各持贰份，具同等法律效力。</w:t>
      </w:r>
    </w:p>
    <w:p w14:paraId="578D3480">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双方确认位于协议首页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14:paraId="2AA16AF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（本页无正文，为合同签署页）</w:t>
      </w:r>
    </w:p>
    <w:p w14:paraId="4D7ACCA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p>
    <w:p w14:paraId="1B317FC3">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p>
    <w:p w14:paraId="6D0C3FF8">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甲方（盖章）：                   乙方（盖章）：</w:t>
      </w:r>
    </w:p>
    <w:p w14:paraId="2CAEBB8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p>
    <w:p w14:paraId="555C73D3">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法定代表人或授权代表（签字）：  法定代表人或授权代表（签字）：</w:t>
      </w:r>
    </w:p>
    <w:p w14:paraId="7225B079">
      <w:pPr>
        <w:keepNext w:val="0"/>
        <w:keepLines w:val="0"/>
        <w:pageBreakBefore w:val="0"/>
        <w:widowControl/>
        <w:kinsoku/>
        <w:wordWrap/>
        <w:overflowPunct/>
        <w:topLinePunct w:val="0"/>
        <w:autoSpaceDE/>
        <w:autoSpaceDN/>
        <w:bidi w:val="0"/>
        <w:spacing w:line="360" w:lineRule="auto"/>
        <w:ind w:firstLine="0" w:firstLineChars="0"/>
        <w:jc w:val="left"/>
        <w:textAlignment w:val="auto"/>
        <w:rPr>
          <w:rFonts w:hint="eastAsia" w:ascii="宋体" w:hAnsi="宋体" w:eastAsia="宋体" w:cs="宋体"/>
          <w:sz w:val="21"/>
          <w:szCs w:val="21"/>
        </w:rPr>
      </w:pPr>
    </w:p>
    <w:p w14:paraId="14F35D1C">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日期：                            日期：</w:t>
      </w:r>
    </w:p>
    <w:p w14:paraId="036B5C0C">
      <w:pPr>
        <w:keepNext w:val="0"/>
        <w:keepLines w:val="0"/>
        <w:pageBreakBefore w:val="0"/>
        <w:widowControl w:val="0"/>
        <w:kinsoku/>
        <w:wordWrap/>
        <w:overflowPunct/>
        <w:topLinePunct w:val="0"/>
        <w:bidi w:val="0"/>
        <w:adjustRightInd/>
        <w:snapToGrid/>
        <w:spacing w:after="0" w:line="480" w:lineRule="auto"/>
        <w:ind w:firstLine="420" w:firstLineChars="200"/>
        <w:jc w:val="left"/>
        <w:textAlignment w:val="auto"/>
        <w:rPr>
          <w:rStyle w:val="24"/>
          <w:rFonts w:hint="eastAsia"/>
          <w:color w:val="auto"/>
          <w:lang w:val="en-US" w:eastAsia="zh-CN"/>
        </w:rPr>
      </w:pPr>
    </w:p>
    <w:p w14:paraId="04A8E777">
      <w:pPr>
        <w:pStyle w:val="50"/>
        <w:numPr>
          <w:ilvl w:val="0"/>
          <w:numId w:val="0"/>
        </w:numPr>
        <w:outlineLvl w:val="0"/>
        <w:rPr>
          <w:rFonts w:hint="eastAsia" w:ascii="宋体" w:hAnsi="宋体" w:cs="宋体"/>
          <w:b/>
          <w:bCs/>
          <w:sz w:val="21"/>
          <w:szCs w:val="21"/>
        </w:rPr>
      </w:pPr>
    </w:p>
    <w:p w14:paraId="68BD4772">
      <w:pPr>
        <w:rPr>
          <w:rFonts w:ascii="宋体" w:hAnsi="宋体" w:cs="宋体"/>
          <w:szCs w:val="21"/>
        </w:rPr>
      </w:pPr>
    </w:p>
    <w:p w14:paraId="3351A76A">
      <w:pPr>
        <w:rPr>
          <w:rFonts w:ascii="宋体" w:hAnsi="宋体" w:cs="宋体"/>
          <w:szCs w:val="21"/>
        </w:rPr>
      </w:pPr>
    </w:p>
    <w:p w14:paraId="5BCA8F87">
      <w:pPr>
        <w:rPr>
          <w:rFonts w:ascii="宋体" w:hAnsi="宋体" w:cs="宋体"/>
          <w:szCs w:val="21"/>
        </w:rPr>
      </w:pPr>
    </w:p>
    <w:p w14:paraId="5E45A623">
      <w:pPr>
        <w:rPr>
          <w:rFonts w:ascii="宋体" w:hAnsi="宋体" w:cs="宋体"/>
          <w:szCs w:val="21"/>
        </w:rPr>
      </w:pPr>
    </w:p>
    <w:p w14:paraId="1AF6FF0C">
      <w:pPr>
        <w:rPr>
          <w:rFonts w:ascii="宋体" w:hAnsi="宋体" w:cs="宋体"/>
          <w:szCs w:val="21"/>
        </w:rPr>
      </w:pPr>
    </w:p>
    <w:p w14:paraId="2F369704">
      <w:pPr>
        <w:rPr>
          <w:rFonts w:ascii="宋体" w:hAnsi="宋体" w:cs="宋体"/>
          <w:szCs w:val="21"/>
        </w:rPr>
      </w:pPr>
    </w:p>
    <w:p w14:paraId="44F75360">
      <w:pPr>
        <w:rPr>
          <w:rFonts w:ascii="宋体" w:hAnsi="宋体" w:cs="宋体"/>
          <w:szCs w:val="21"/>
        </w:rPr>
      </w:pPr>
    </w:p>
    <w:p w14:paraId="6BF52D4E">
      <w:pPr>
        <w:rPr>
          <w:rFonts w:ascii="宋体" w:hAnsi="宋体" w:cs="宋体"/>
          <w:szCs w:val="21"/>
        </w:rPr>
      </w:pPr>
    </w:p>
    <w:p w14:paraId="24DDF13A">
      <w:pPr>
        <w:rPr>
          <w:rFonts w:ascii="宋体" w:hAnsi="宋体" w:cs="宋体"/>
          <w:szCs w:val="21"/>
        </w:rPr>
      </w:pPr>
    </w:p>
    <w:p w14:paraId="054BD13B">
      <w:pPr>
        <w:widowControl/>
        <w:jc w:val="left"/>
        <w:rPr>
          <w:rFonts w:ascii="宋体" w:hAnsi="宋体" w:cs="宋体"/>
          <w:szCs w:val="21"/>
        </w:rPr>
      </w:pPr>
      <w:r>
        <w:rPr>
          <w:rFonts w:hint="eastAsia" w:ascii="宋体" w:hAnsi="宋体" w:cs="宋体"/>
          <w:szCs w:val="21"/>
        </w:rPr>
        <w:br w:type="page"/>
      </w:r>
    </w:p>
    <w:p w14:paraId="00AA483C">
      <w:pPr>
        <w:ind w:firstLine="426" w:firstLineChars="202"/>
        <w:rPr>
          <w:rFonts w:asciiTheme="minorEastAsia" w:hAnsiTheme="minorEastAsia"/>
          <w:b/>
          <w:szCs w:val="21"/>
        </w:rPr>
      </w:pPr>
    </w:p>
    <w:p w14:paraId="4CB2FAE4">
      <w:pPr>
        <w:spacing w:line="360" w:lineRule="auto"/>
        <w:ind w:firstLine="420" w:firstLineChars="200"/>
        <w:rPr>
          <w:rFonts w:cs="仿宋" w:asciiTheme="minorEastAsia" w:hAnsiTheme="minorEastAsia" w:eastAsiaTheme="minorEastAsia"/>
        </w:rPr>
      </w:pPr>
    </w:p>
    <w:p w14:paraId="4429FF62">
      <w:pPr>
        <w:rPr>
          <w:rFonts w:cs="仿宋" w:asciiTheme="minorEastAsia" w:hAnsiTheme="minorEastAsia" w:eastAsiaTheme="minorEastAsia"/>
        </w:rPr>
      </w:pPr>
    </w:p>
    <w:p w14:paraId="27A231E6">
      <w:pPr>
        <w:rPr>
          <w:rFonts w:cs="仿宋" w:asciiTheme="minorEastAsia" w:hAnsiTheme="minorEastAsia" w:eastAsiaTheme="minorEastAsia"/>
        </w:rPr>
      </w:pPr>
    </w:p>
    <w:p w14:paraId="7953F17A">
      <w:pPr>
        <w:rPr>
          <w:rFonts w:cs="仿宋" w:asciiTheme="minorEastAsia" w:hAnsiTheme="minorEastAsia" w:eastAsiaTheme="minorEastAsia"/>
        </w:rPr>
      </w:pPr>
    </w:p>
    <w:p w14:paraId="61942D92">
      <w:pPr>
        <w:rPr>
          <w:rFonts w:cs="仿宋" w:asciiTheme="minorEastAsia" w:hAnsiTheme="minorEastAsia" w:eastAsiaTheme="minorEastAsia"/>
        </w:rPr>
      </w:pPr>
    </w:p>
    <w:p w14:paraId="6779E85E">
      <w:pPr>
        <w:rPr>
          <w:rFonts w:cs="仿宋" w:asciiTheme="minorEastAsia" w:hAnsiTheme="minorEastAsia" w:eastAsiaTheme="minorEastAsia"/>
        </w:rPr>
      </w:pPr>
    </w:p>
    <w:p w14:paraId="37A9A665">
      <w:pPr>
        <w:rPr>
          <w:rFonts w:cs="仿宋" w:asciiTheme="minorEastAsia" w:hAnsiTheme="minorEastAsia" w:eastAsiaTheme="minorEastAsia"/>
        </w:rPr>
      </w:pPr>
    </w:p>
    <w:p w14:paraId="684413B3">
      <w:pPr>
        <w:rPr>
          <w:rFonts w:cs="仿宋" w:asciiTheme="minorEastAsia" w:hAnsiTheme="minorEastAsia" w:eastAsiaTheme="minorEastAsia"/>
        </w:rPr>
      </w:pPr>
    </w:p>
    <w:p w14:paraId="6244B68C">
      <w:pPr>
        <w:rPr>
          <w:rFonts w:cs="仿宋" w:asciiTheme="minorEastAsia" w:hAnsiTheme="minorEastAsia" w:eastAsiaTheme="minorEastAsia"/>
        </w:rPr>
      </w:pPr>
    </w:p>
    <w:p w14:paraId="3DFD367F">
      <w:pPr>
        <w:rPr>
          <w:rFonts w:cs="仿宋" w:asciiTheme="minorEastAsia" w:hAnsiTheme="minorEastAsia" w:eastAsiaTheme="minorEastAsia"/>
        </w:rPr>
      </w:pPr>
    </w:p>
    <w:p w14:paraId="2CE10E8F">
      <w:pPr>
        <w:rPr>
          <w:rFonts w:cs="仿宋" w:asciiTheme="minorEastAsia" w:hAnsiTheme="minorEastAsia" w:eastAsiaTheme="minorEastAsia"/>
        </w:rPr>
      </w:pPr>
    </w:p>
    <w:p w14:paraId="6AB15D14">
      <w:pPr>
        <w:rPr>
          <w:rFonts w:cs="仿宋" w:asciiTheme="minorEastAsia" w:hAnsiTheme="minorEastAsia" w:eastAsiaTheme="minorEastAsia"/>
        </w:rPr>
      </w:pPr>
    </w:p>
    <w:p w14:paraId="0B5B239F">
      <w:pPr>
        <w:rPr>
          <w:rFonts w:cs="仿宋" w:asciiTheme="minorEastAsia" w:hAnsiTheme="minorEastAsia" w:eastAsiaTheme="minorEastAsia"/>
        </w:rPr>
      </w:pPr>
    </w:p>
    <w:p w14:paraId="41FC2C39">
      <w:pPr>
        <w:rPr>
          <w:rFonts w:cs="仿宋" w:asciiTheme="minorEastAsia" w:hAnsiTheme="minorEastAsia" w:eastAsiaTheme="minorEastAsia"/>
        </w:rPr>
      </w:pPr>
    </w:p>
    <w:p w14:paraId="5D25BD2B">
      <w:pPr>
        <w:rPr>
          <w:rFonts w:cs="仿宋" w:asciiTheme="minorEastAsia" w:hAnsiTheme="minorEastAsia" w:eastAsiaTheme="minorEastAsia"/>
        </w:rPr>
      </w:pPr>
    </w:p>
    <w:p w14:paraId="4A8BE9A1">
      <w:pPr>
        <w:rPr>
          <w:rFonts w:cs="仿宋" w:asciiTheme="minorEastAsia" w:hAnsiTheme="minorEastAsia" w:eastAsiaTheme="minorEastAsia"/>
        </w:rPr>
      </w:pPr>
    </w:p>
    <w:p w14:paraId="2F07FC0C">
      <w:pPr>
        <w:rPr>
          <w:rFonts w:cs="仿宋" w:asciiTheme="minorEastAsia" w:hAnsiTheme="minorEastAsia" w:eastAsiaTheme="minorEastAsia"/>
        </w:rPr>
      </w:pPr>
    </w:p>
    <w:p w14:paraId="31237855">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14:paraId="459F7B47">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14:paraId="1DE8297C">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B57F542">
      <w:pPr>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14:paraId="6F235AEC">
      <w:pPr>
        <w:adjustRightInd w:val="0"/>
        <w:spacing w:line="360" w:lineRule="auto"/>
        <w:jc w:val="center"/>
        <w:rPr>
          <w:rFonts w:cs="仿宋" w:asciiTheme="minorEastAsia" w:hAnsiTheme="minorEastAsia" w:eastAsiaTheme="minorEastAsia"/>
          <w:b/>
          <w:snapToGrid w:val="0"/>
          <w:kern w:val="0"/>
          <w:sz w:val="32"/>
          <w:szCs w:val="32"/>
        </w:rPr>
      </w:pPr>
    </w:p>
    <w:p w14:paraId="3E19CE04">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14:paraId="17915923">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14:paraId="36F6EF0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14:paraId="0906A40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14:paraId="37D60ABF">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14:paraId="5584F27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14:paraId="38104A8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14:paraId="1692BFF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14:paraId="26D3CE9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14:paraId="044A14A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14:paraId="6AE242C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14:paraId="1941CC4B">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14:paraId="24467CB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14:paraId="6BB2CA2A">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14:paraId="4B2159B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14:paraId="3B7838A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14:paraId="0B8D904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14:paraId="3B77767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14:paraId="0104D7B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14:paraId="7DFA451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14:paraId="33FD5E4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14:paraId="11E477F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14:paraId="02F7EDF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14:paraId="4BDAE89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14:paraId="42777B0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14:paraId="4683E67A">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14:paraId="78E29CF9">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14:paraId="2E299F41">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14:paraId="431067BA">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14:paraId="2D3B2EA9">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14:paraId="06707CCC">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14:paraId="799CCCC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14:paraId="41CF838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14:paraId="290A86D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14:paraId="0FD3FA9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14:paraId="0CB0F9A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14:paraId="55AD4AA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14:paraId="11B9D08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14:paraId="2C9F931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14:paraId="3FE57FF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14:paraId="53AFC2E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14:paraId="1D5B5D2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14:paraId="750A0D8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14:paraId="0C6071BE">
      <w:pPr>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14:paraId="7A02CBF6">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14:paraId="274ACB9F">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14:paraId="22EF3096">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14:paraId="662A27EF">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14:paraId="5F478CB9">
      <w:pPr>
        <w:rPr>
          <w:rFonts w:cs="仿宋" w:asciiTheme="minorEastAsia" w:hAnsiTheme="minorEastAsia" w:eastAsiaTheme="minorEastAsia"/>
        </w:rPr>
      </w:pPr>
      <w:bookmarkStart w:id="7" w:name="q5"/>
      <w:bookmarkEnd w:id="7"/>
    </w:p>
    <w:p w14:paraId="5D1DA990">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14:paraId="5F2EF133">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14:paraId="32DBAA8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14:paraId="77CDDEA2">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14:paraId="2F83A459">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14:paraId="7FA4547F">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14:paraId="223BEC10">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14:paraId="4CF36704">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14:paraId="60270B76">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14:paraId="58CDDF75">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14:paraId="010E217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14:paraId="4E67582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14:paraId="67D78DF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14:paraId="148F88D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14:paraId="0670413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14:paraId="68E78940">
      <w:pPr>
        <w:adjustRightInd w:val="0"/>
        <w:spacing w:line="360" w:lineRule="auto"/>
        <w:rPr>
          <w:rFonts w:cs="仿宋" w:asciiTheme="minorEastAsia" w:hAnsiTheme="minorEastAsia" w:eastAsiaTheme="minorEastAsia"/>
          <w:snapToGrid w:val="0"/>
          <w:kern w:val="0"/>
          <w:szCs w:val="21"/>
        </w:rPr>
      </w:pPr>
    </w:p>
    <w:p w14:paraId="265B9A80">
      <w:pPr>
        <w:adjustRightInd w:val="0"/>
        <w:spacing w:line="360" w:lineRule="auto"/>
        <w:ind w:firstLine="600"/>
        <w:jc w:val="center"/>
        <w:rPr>
          <w:rFonts w:cs="仿宋" w:asciiTheme="minorEastAsia" w:hAnsiTheme="minorEastAsia" w:eastAsiaTheme="minorEastAsia"/>
          <w:b/>
          <w:snapToGrid w:val="0"/>
          <w:kern w:val="0"/>
          <w:sz w:val="32"/>
          <w:szCs w:val="32"/>
        </w:rPr>
      </w:pPr>
      <w:bookmarkStart w:id="8" w:name="q6"/>
      <w:bookmarkEnd w:id="8"/>
      <w:r>
        <w:rPr>
          <w:rFonts w:hint="eastAsia" w:cs="仿宋" w:asciiTheme="minorEastAsia" w:hAnsiTheme="minorEastAsia" w:eastAsiaTheme="minorEastAsia"/>
          <w:b/>
          <w:snapToGrid w:val="0"/>
          <w:kern w:val="0"/>
          <w:sz w:val="32"/>
          <w:szCs w:val="32"/>
        </w:rPr>
        <w:t>Ｃ  投标文件的编写</w:t>
      </w:r>
    </w:p>
    <w:p w14:paraId="77A36A8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14:paraId="66443A5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14:paraId="3034683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14:paraId="5340946A">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14:paraId="201212F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14:paraId="070D8463">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14:paraId="7839AD47">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14:paraId="221858E3">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14:paraId="7F10AB81">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14:paraId="1A2D564D">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14:paraId="0873CEC3">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14:paraId="4F820B04">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14:paraId="01DAD803">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14:paraId="4BF8551A">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14:paraId="3AFAA7B4">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14:paraId="5E3FF9FB">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（9）服务方案（格式6）</w:t>
      </w:r>
    </w:p>
    <w:p w14:paraId="72FC72D2">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（10）差异表（格式7）</w:t>
      </w:r>
    </w:p>
    <w:p w14:paraId="624A4580">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（11）其他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（格式8）</w:t>
      </w:r>
    </w:p>
    <w:p w14:paraId="47F067D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14:paraId="5321139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14:paraId="33B1A41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14:paraId="017C7DC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14:paraId="1C83280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14:paraId="386B9B3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w:t>
      </w:r>
      <w:r>
        <w:rPr>
          <w:rFonts w:hint="eastAsia" w:cs="仿宋" w:asciiTheme="minorEastAsia" w:hAnsiTheme="minorEastAsia" w:eastAsiaTheme="minorEastAsia"/>
          <w:snapToGrid w:val="0"/>
          <w:kern w:val="0"/>
          <w:szCs w:val="21"/>
          <w:lang w:val="en-US" w:eastAsia="zh-CN"/>
        </w:rPr>
        <w:t>4</w:t>
      </w:r>
      <w:r>
        <w:rPr>
          <w:rFonts w:hint="eastAsia" w:cs="仿宋" w:asciiTheme="minorEastAsia" w:hAnsiTheme="minorEastAsia" w:eastAsiaTheme="minorEastAsia"/>
          <w:snapToGrid w:val="0"/>
          <w:kern w:val="0"/>
          <w:szCs w:val="21"/>
        </w:rPr>
        <w:t>）和“报价表”（格式</w:t>
      </w:r>
      <w:r>
        <w:rPr>
          <w:rFonts w:hint="eastAsia" w:cs="仿宋" w:asciiTheme="minorEastAsia" w:hAnsiTheme="minorEastAsia" w:eastAsiaTheme="minorEastAsia"/>
          <w:snapToGrid w:val="0"/>
          <w:kern w:val="0"/>
          <w:szCs w:val="21"/>
          <w:lang w:val="en-US" w:eastAsia="zh-CN"/>
        </w:rPr>
        <w:t>5</w:t>
      </w:r>
      <w:r>
        <w:rPr>
          <w:rFonts w:hint="eastAsia" w:cs="仿宋" w:asciiTheme="minorEastAsia" w:hAnsiTheme="minorEastAsia" w:eastAsiaTheme="minorEastAsia"/>
          <w:snapToGrid w:val="0"/>
          <w:kern w:val="0"/>
          <w:szCs w:val="21"/>
        </w:rPr>
        <w:t>）上写明投标货物的单价和投标总价。投标供应商对每种项目只允许有一个报价，采购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14:paraId="21DDD73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14:paraId="7DB49042">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14:paraId="7A36968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14:paraId="6D3110DE">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14:paraId="319134E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14:paraId="01FA591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14:paraId="36BA0B0E">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14:paraId="2908A0C2">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14:paraId="25ACB189">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14:paraId="48427F0C">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14:paraId="1E91D4E7">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14:paraId="70CD95FB">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14:paraId="11BA129A">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14:paraId="3929086E">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14:paraId="216AE5DF">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14:paraId="24F4F5FE">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14:paraId="331F045B">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（2）投标供应商串通投标或者以其他弄虚作假方式投标；</w:t>
      </w:r>
    </w:p>
    <w:p w14:paraId="0E2DEB77">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（3）如果中标方未能做到：</w:t>
      </w:r>
    </w:p>
    <w:p w14:paraId="359C9414">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w:t>
      </w:r>
      <w:r>
        <w:rPr>
          <w:rFonts w:hint="eastAsia" w:cs="仿宋" w:asciiTheme="minorEastAsia" w:hAnsiTheme="minorEastAsia" w:eastAsiaTheme="minorEastAsia"/>
          <w:snapToGrid w:val="0"/>
          <w:kern w:val="0"/>
          <w:szCs w:val="21"/>
          <w:lang w:val="en-US" w:eastAsia="zh-CN"/>
        </w:rPr>
        <w:t>1</w:t>
      </w:r>
      <w:r>
        <w:rPr>
          <w:rFonts w:hint="eastAsia" w:cs="仿宋" w:asciiTheme="minorEastAsia" w:hAnsiTheme="minorEastAsia" w:eastAsiaTheme="minorEastAsia"/>
          <w:snapToGrid w:val="0"/>
          <w:kern w:val="0"/>
          <w:szCs w:val="21"/>
        </w:rPr>
        <w:t>条规定签订合同；</w:t>
      </w:r>
    </w:p>
    <w:p w14:paraId="034FC4C7">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w:t>
      </w:r>
      <w:r>
        <w:rPr>
          <w:rFonts w:hint="eastAsia" w:cs="仿宋" w:asciiTheme="minorEastAsia" w:hAnsiTheme="minorEastAsia" w:eastAsiaTheme="minorEastAsia"/>
          <w:snapToGrid w:val="0"/>
          <w:kern w:val="0"/>
          <w:szCs w:val="21"/>
          <w:lang w:val="en-US" w:eastAsia="zh-CN"/>
        </w:rPr>
        <w:t>2</w:t>
      </w:r>
      <w:r>
        <w:rPr>
          <w:rFonts w:hint="eastAsia" w:cs="仿宋" w:asciiTheme="minorEastAsia" w:hAnsiTheme="minorEastAsia" w:eastAsiaTheme="minorEastAsia"/>
          <w:snapToGrid w:val="0"/>
          <w:kern w:val="0"/>
          <w:szCs w:val="21"/>
        </w:rPr>
        <w:t>条规定提供履约保证金；</w:t>
      </w:r>
    </w:p>
    <w:p w14:paraId="0AF0A195">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w:t>
      </w:r>
      <w:r>
        <w:rPr>
          <w:rFonts w:hint="eastAsia" w:cs="仿宋" w:asciiTheme="minorEastAsia" w:hAnsiTheme="minorEastAsia" w:eastAsiaTheme="minorEastAsia"/>
          <w:snapToGrid w:val="0"/>
          <w:kern w:val="0"/>
          <w:szCs w:val="21"/>
          <w:lang w:val="en-US" w:eastAsia="zh-CN"/>
        </w:rPr>
        <w:t>3</w:t>
      </w:r>
      <w:r>
        <w:rPr>
          <w:rFonts w:hint="eastAsia" w:cs="仿宋" w:asciiTheme="minorEastAsia" w:hAnsiTheme="minorEastAsia" w:eastAsiaTheme="minorEastAsia"/>
          <w:snapToGrid w:val="0"/>
          <w:kern w:val="0"/>
          <w:szCs w:val="21"/>
        </w:rPr>
        <w:t>条规定缴纳采购代理服务费。</w:t>
      </w:r>
    </w:p>
    <w:p w14:paraId="731DACA6">
      <w:pPr>
        <w:pStyle w:val="9"/>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（4） 法律法规规定的其它情况。</w:t>
      </w:r>
    </w:p>
    <w:p w14:paraId="3B254064">
      <w:pPr>
        <w:tabs>
          <w:tab w:val="left" w:pos="330"/>
        </w:tabs>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14:paraId="256F688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14:paraId="6AB65ED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14:paraId="0A9CE9D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14:paraId="6D5297B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14:paraId="7A6D6B7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14:paraId="1CA0B4F6">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14:paraId="10806C8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14:paraId="6943D7A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w:t>
      </w:r>
      <w:r>
        <w:rPr>
          <w:rFonts w:hint="eastAsia" w:cs="仿宋" w:asciiTheme="minorEastAsia" w:hAnsiTheme="minorEastAsia"/>
        </w:rPr>
        <w:t>电子备份光盘（或U盘）1份（含投标文件正本盖章扫描件）。</w:t>
      </w:r>
    </w:p>
    <w:p w14:paraId="0EF2174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14:paraId="3FDB01B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14:paraId="045DBA5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14:paraId="7C64012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14:paraId="0389430B">
      <w:pPr>
        <w:adjustRightInd w:val="0"/>
        <w:spacing w:line="360" w:lineRule="auto"/>
        <w:rPr>
          <w:rFonts w:cs="仿宋" w:asciiTheme="minorEastAsia" w:hAnsiTheme="minorEastAsia" w:eastAsiaTheme="minorEastAsia"/>
          <w:snapToGrid w:val="0"/>
          <w:kern w:val="0"/>
          <w:szCs w:val="21"/>
        </w:rPr>
      </w:pPr>
    </w:p>
    <w:p w14:paraId="6E55EC18">
      <w:pPr>
        <w:adjustRightInd w:val="0"/>
        <w:spacing w:line="360" w:lineRule="auto"/>
        <w:jc w:val="center"/>
        <w:rPr>
          <w:rFonts w:cs="仿宋" w:asciiTheme="minorEastAsia" w:hAnsiTheme="minorEastAsia" w:eastAsiaTheme="minorEastAsia"/>
          <w:b/>
          <w:snapToGrid w:val="0"/>
          <w:kern w:val="0"/>
          <w:sz w:val="32"/>
          <w:szCs w:val="32"/>
        </w:rPr>
      </w:pPr>
      <w:bookmarkStart w:id="9" w:name="q7"/>
      <w:bookmarkEnd w:id="9"/>
      <w:r>
        <w:rPr>
          <w:rFonts w:hint="eastAsia" w:cs="仿宋" w:asciiTheme="minorEastAsia" w:hAnsiTheme="minorEastAsia" w:eastAsiaTheme="minorEastAsia"/>
          <w:b/>
          <w:snapToGrid w:val="0"/>
          <w:kern w:val="0"/>
          <w:sz w:val="32"/>
          <w:szCs w:val="32"/>
        </w:rPr>
        <w:t>Ｄ   投标文件的递交</w:t>
      </w:r>
    </w:p>
    <w:p w14:paraId="1BE65838">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14:paraId="35D31C1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14:paraId="7C87699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14:paraId="58674A0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14:paraId="7AC3747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14:paraId="0CBCC17D">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0A348619">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4925C019">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3E5F900B">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41431D7F">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5E50811E">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2BC1D2A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14:paraId="590C976B">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7F9A5589">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06E37121">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55363377">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353CCDFE">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2793804E">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14:paraId="1FBF2744">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49EB137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14:paraId="45BD014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14:paraId="426E3BB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14:paraId="02FCD4A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2BC5C31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14:paraId="21D2D072">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14:paraId="754C8B7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14:paraId="7FD807D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10" w:name="_Hlt35050056"/>
      <w:bookmarkEnd w:id="10"/>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58283A2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14:paraId="43D311D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14:paraId="17B2F7A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14:paraId="286EABD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14:paraId="3BE7C63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14:paraId="79F0C9C1">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14:paraId="0F1BDCBC">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14:paraId="427D7CF6">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14:paraId="66A7ECE1">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14:paraId="1BFF6A84">
      <w:pPr>
        <w:rPr>
          <w:rFonts w:cs="仿宋" w:asciiTheme="minorEastAsia" w:hAnsiTheme="minorEastAsia" w:eastAsiaTheme="minorEastAsia"/>
        </w:rPr>
      </w:pPr>
      <w:bookmarkStart w:id="11" w:name="q8"/>
      <w:bookmarkEnd w:id="11"/>
    </w:p>
    <w:p w14:paraId="7BC10182">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14:paraId="161E889F">
      <w:pPr>
        <w:tabs>
          <w:tab w:val="left" w:pos="0"/>
        </w:tabs>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14:paraId="20FCE029">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14:paraId="10CFA765">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14:paraId="28F3D5B2">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14:paraId="2308E201">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14:paraId="700E4400">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14:paraId="7854E92D">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14:paraId="4D498CD6">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14:paraId="1B92792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14:paraId="56238E9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14:paraId="51B8A02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14:paraId="067CAA1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14:paraId="2E4960A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14:paraId="0B3BC1E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14:paraId="536C25F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14:paraId="7914605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14:paraId="5BF8CEB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14:paraId="07CC8A7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14:paraId="23335576">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14:paraId="555264D1">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14:paraId="7F413ED1">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14:paraId="5A75F2DF">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14:paraId="308394D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14:paraId="56DF91E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14:paraId="7CAC7A3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14:paraId="427862D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14:paraId="1430493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14:paraId="729DBD8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14:paraId="2017DE2E">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14:paraId="11A2F76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14:paraId="28CA828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14:paraId="5196EEF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14:paraId="1D08D18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14:paraId="4F39D21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14:paraId="1A4F5CA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14:paraId="483FA06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14:paraId="1104FEC9">
      <w:pPr>
        <w:adjustRightInd w:val="0"/>
        <w:spacing w:line="360" w:lineRule="auto"/>
        <w:rPr>
          <w:rFonts w:cs="仿宋" w:asciiTheme="minorEastAsia" w:hAnsiTheme="minorEastAsia" w:eastAsiaTheme="minorEastAsia"/>
          <w:snapToGrid w:val="0"/>
          <w:kern w:val="0"/>
          <w:szCs w:val="21"/>
        </w:rPr>
      </w:pPr>
      <w:bookmarkStart w:id="12" w:name="q9"/>
      <w:bookmarkEnd w:id="12"/>
      <w:r>
        <w:rPr>
          <w:rFonts w:hint="eastAsia" w:cs="仿宋" w:asciiTheme="minorEastAsia" w:hAnsiTheme="minorEastAsia" w:eastAsiaTheme="minorEastAsia"/>
          <w:snapToGrid w:val="0"/>
          <w:kern w:val="0"/>
          <w:szCs w:val="21"/>
        </w:rPr>
        <w:t>26.5评委会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14:paraId="7D9822C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71459D74">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14:paraId="1BA10CF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14:paraId="48AE1B4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14:paraId="1377621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14:paraId="66B2E8B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14:paraId="3C09BD5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14:paraId="50818648">
      <w:pPr>
        <w:rPr>
          <w:rFonts w:cs="仿宋" w:asciiTheme="minorEastAsia" w:hAnsiTheme="minorEastAsia" w:eastAsiaTheme="minorEastAsia"/>
        </w:rPr>
      </w:pPr>
    </w:p>
    <w:p w14:paraId="75C366BD">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14:paraId="1316131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14:paraId="212643C2">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14:paraId="4CBC9D0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14:paraId="717F6E9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14:paraId="67032FB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14:paraId="221776E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14:paraId="2FCFC4A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14:paraId="589C0E5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14:paraId="7869382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14:paraId="36F4AD3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14:paraId="6B81CC8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14:paraId="3F9C54AE">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14:paraId="7A698B3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14:paraId="27FE51AB">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14:paraId="54B491B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采购代理服务费按前附表第14项所述，最低收取人民币5000元。</w:t>
      </w:r>
    </w:p>
    <w:p w14:paraId="21D8D4B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2"/>
        <w:tblW w:w="7115" w:type="dxa"/>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14:paraId="7C8B99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14:paraId="68840644">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9744"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086DB65A">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974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Jm2vgCzAQAAfgMAAA4AAAAAAAAAAQAgAAAAJwEAAGRycy9lMm9Eb2MueG1sUEsFBgAAAAAG&#10;AAYAWQEAAEwFAAAAAA==&#10;">
                      <v:fill on="f" focussize="0,0"/>
                      <v:stroke on="f"/>
                      <v:imagedata o:title=""/>
                      <o:lock v:ext="edit" aspectratio="f"/>
                      <v:textbox inset="0mm,0mm,0mm,0mm">
                        <w:txbxContent>
                          <w:p w14:paraId="086DB65A">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51BFD46B">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872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Gvaa9i0AQAAfwMAAA4AAAAAAAAAAQAgAAAAJgEAAGRycy9lMm9Eb2MueG1sUEsFBgAAAAAG&#10;AAYAWQEAAEwFAAAAAA==&#10;">
                      <v:fill on="f" focussize="0,0"/>
                      <v:stroke on="f"/>
                      <v:imagedata o:title=""/>
                      <o:lock v:ext="edit" aspectratio="f"/>
                      <v:textbox inset="0mm,0mm,0mm,0mm">
                        <w:txbxContent>
                          <w:p w14:paraId="51BFD46B">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4D5DE19F">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769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MLr2VyzAQAAfgMAAA4AAAAAAAAAAQAgAAAAJwEAAGRycy9lMm9Eb2MueG1sUEsFBgAAAAAG&#10;AAYAWQEAAEwFAAAAAA==&#10;">
                      <v:fill on="f" focussize="0,0"/>
                      <v:stroke on="f"/>
                      <v:imagedata o:title=""/>
                      <o:lock v:ext="edit" aspectratio="f"/>
                      <v:textbox inset="0mm,0mm,0mm,0mm">
                        <w:txbxContent>
                          <w:p w14:paraId="4D5DE19F">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11DA18F7">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667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pI&#10;cdcAAAAHAQAADwAAAAAAAAABACAAAAAiAAAAZHJzL2Rvd25yZXYueG1sUEsBAhQAFAAAAAgAh07i&#10;QG7wi5WxAQAAfwMAAA4AAAAAAAAAAQAgAAAAJgEAAGRycy9lMm9Eb2MueG1sUEsFBgAAAAAGAAYA&#10;WQEAAEkFAAAAAA==&#10;">
                      <v:fill on="f" focussize="0,0"/>
                      <v:stroke on="f"/>
                      <v:imagedata o:title=""/>
                      <o:lock v:ext="edit" aspectratio="f"/>
                      <v:textbox inset="0mm,0mm,0mm,0mm">
                        <w:txbxContent>
                          <w:p w14:paraId="11DA18F7">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2E1CD986">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564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MaPxSy0AQAAfwMAAA4AAAAAAAAAAQAgAAAAJgEAAGRycy9lMm9Eb2MueG1sUEsFBgAAAAAG&#10;AAYAWQEAAEwFAAAAAA==&#10;">
                      <v:fill on="f" focussize="0,0"/>
                      <v:stroke on="f"/>
                      <v:imagedata o:title=""/>
                      <o:lock v:ext="edit" aspectratio="f"/>
                      <v:textbox inset="0mm,0mm,0mm,0mm">
                        <w:txbxContent>
                          <w:p w14:paraId="2E1CD986">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641EB26B">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462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CDMVvyswEAAH8DAAAOAAAAAAAAAAEAIAAAACUBAABkcnMvZTJvRG9jLnhtbFBLBQYAAAAABgAG&#10;AFkBAABKBQAAAAA=&#10;">
                      <v:fill on="f" focussize="0,0"/>
                      <v:stroke on="f"/>
                      <v:imagedata o:title=""/>
                      <o:lock v:ext="edit" aspectratio="f"/>
                      <v:textbox inset="0mm,0mm,0mm,0mm">
                        <w:txbxContent>
                          <w:p w14:paraId="641EB26B">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4EC00528">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360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yIB77rQBAAB/AwAADgAAAAAAAAABACAAAAAlAQAAZHJzL2Uyb0RvYy54bWxQSwUGAAAAAAYA&#10;BgBZAQAASwUAAAAA&#10;">
                      <v:fill on="f" focussize="0,0"/>
                      <v:stroke on="f"/>
                      <v:imagedata o:title=""/>
                      <o:lock v:ext="edit" aspectratio="f"/>
                      <v:textbox inset="0mm,0mm,0mm,0mm">
                        <w:txbxContent>
                          <w:p w14:paraId="4EC00528">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74E938F3">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257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6A0babMBAAB/AwAADgAAAAAAAAABACAAAAAmAQAAZHJzL2Uyb0RvYy54bWxQSwUGAAAAAAYA&#10;BgBZAQAASwUAAAAA&#10;">
                      <v:fill on="f" focussize="0,0"/>
                      <v:stroke on="f"/>
                      <v:imagedata o:title=""/>
                      <o:lock v:ext="edit" aspectratio="f"/>
                      <v:textbox inset="0mm,0mm,0mm,0mm">
                        <w:txbxContent>
                          <w:p w14:paraId="74E938F3">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4D89092F">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155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14:paraId="4D89092F">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2042F895">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7052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14:paraId="2042F895">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6B703F94">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950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14:paraId="6B703F94">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07DB39EE">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848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14:paraId="07DB39EE">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35073032">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745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14:paraId="35073032">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643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540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14:paraId="0F6E00B7">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14:paraId="72A09D8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14:paraId="5834EDF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14:paraId="5EE487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5063AF8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14:paraId="5FD4074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14:paraId="5CA989C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14:paraId="3612030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6DB501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3A4442A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14:paraId="17D1DCD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14:paraId="1DB9525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14:paraId="2C4D468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14:paraId="00F16254">
      <w:pPr>
        <w:spacing w:line="360" w:lineRule="auto"/>
        <w:ind w:firstLine="420" w:firstLineChars="200"/>
        <w:rPr>
          <w:rFonts w:ascii="宋体" w:hAnsi="宋体" w:cs="仿宋"/>
          <w:szCs w:val="21"/>
        </w:rPr>
      </w:pPr>
      <w:r>
        <w:rPr>
          <w:rFonts w:hint="eastAsia" w:ascii="宋体" w:hAnsi="宋体" w:cs="仿宋"/>
          <w:szCs w:val="21"/>
        </w:rPr>
        <w:t>注：1、采购代理服务费按差额定率累进法计算。例如：某服务类项目中标金额为200万元，计算采购代理服务费额如下：</w:t>
      </w:r>
    </w:p>
    <w:p w14:paraId="598E01DE">
      <w:pPr>
        <w:spacing w:line="360" w:lineRule="auto"/>
        <w:ind w:firstLine="420" w:firstLineChars="200"/>
        <w:rPr>
          <w:rFonts w:ascii="宋体" w:hAnsi="宋体" w:cs="仿宋"/>
          <w:szCs w:val="21"/>
        </w:rPr>
      </w:pPr>
      <w:r>
        <w:rPr>
          <w:rFonts w:hint="eastAsia" w:ascii="宋体" w:hAnsi="宋体" w:cs="仿宋"/>
          <w:szCs w:val="21"/>
        </w:rPr>
        <w:t>100万元×1.5%=1.5万元</w:t>
      </w:r>
    </w:p>
    <w:p w14:paraId="2556C358">
      <w:pPr>
        <w:spacing w:line="360" w:lineRule="auto"/>
        <w:ind w:firstLine="420" w:firstLineChars="200"/>
        <w:rPr>
          <w:rFonts w:ascii="宋体" w:hAnsi="宋体" w:cs="仿宋"/>
          <w:szCs w:val="21"/>
        </w:rPr>
      </w:pPr>
      <w:r>
        <w:rPr>
          <w:rFonts w:hint="eastAsia" w:ascii="宋体" w:hAnsi="宋体" w:cs="仿宋"/>
          <w:szCs w:val="21"/>
        </w:rPr>
        <w:t>（200-100）万元×0.8%=0.8万元</w:t>
      </w:r>
    </w:p>
    <w:p w14:paraId="674CFD5B">
      <w:pPr>
        <w:ind w:firstLine="420" w:firstLineChars="200"/>
        <w:rPr>
          <w:rFonts w:cs="仿宋" w:asciiTheme="minorEastAsia" w:hAnsiTheme="minorEastAsia" w:eastAsiaTheme="minorEastAsia"/>
          <w:szCs w:val="21"/>
        </w:rPr>
      </w:pPr>
      <w:r>
        <w:rPr>
          <w:rFonts w:hint="eastAsia" w:ascii="宋体" w:hAnsi="宋体" w:cs="仿宋"/>
          <w:szCs w:val="21"/>
        </w:rPr>
        <w:t>合计收费=1.5+0.88＝2.38（万元）</w:t>
      </w:r>
    </w:p>
    <w:p w14:paraId="61EFA430">
      <w:pPr>
        <w:rPr>
          <w:rFonts w:cs="仿宋" w:asciiTheme="minorEastAsia" w:hAnsiTheme="minorEastAsia" w:eastAsiaTheme="minorEastAsia"/>
        </w:rPr>
      </w:pPr>
    </w:p>
    <w:p w14:paraId="54BAB0A1">
      <w:pPr>
        <w:jc w:val="center"/>
        <w:rPr>
          <w:rFonts w:cs="仿宋" w:asciiTheme="minorEastAsia" w:hAnsiTheme="minorEastAsia" w:eastAsiaTheme="minorEastAsia"/>
          <w:szCs w:val="21"/>
        </w:rPr>
      </w:pPr>
      <w:r>
        <w:rPr>
          <w:rFonts w:hint="eastAsia" w:cs="仿宋" w:asciiTheme="minorEastAsia" w:hAnsiTheme="minorEastAsia" w:eastAsiaTheme="minorEastAsia"/>
          <w:b/>
          <w:snapToGrid w:val="0"/>
          <w:kern w:val="0"/>
          <w:sz w:val="32"/>
          <w:szCs w:val="32"/>
        </w:rPr>
        <w:t>G　　公开征集失败的后续处理</w:t>
      </w:r>
    </w:p>
    <w:p w14:paraId="14FD65D3">
      <w:pPr>
        <w:spacing w:line="360" w:lineRule="auto"/>
        <w:rPr>
          <w:rFonts w:ascii="宋体" w:hAnsi="宋体" w:cs="宋体"/>
          <w:szCs w:val="21"/>
        </w:rPr>
      </w:pPr>
      <w:r>
        <w:rPr>
          <w:rFonts w:hint="eastAsia" w:ascii="宋体" w:hAnsi="宋体" w:cs="宋体"/>
          <w:b/>
          <w:bCs/>
          <w:szCs w:val="21"/>
        </w:rPr>
        <w:t>34．公开征集失败的处理</w:t>
      </w:r>
    </w:p>
    <w:p w14:paraId="0ED7112F">
      <w:pPr>
        <w:spacing w:line="360" w:lineRule="auto"/>
        <w:rPr>
          <w:rFonts w:ascii="宋体" w:hAnsi="宋体" w:cs="宋体"/>
          <w:szCs w:val="21"/>
        </w:rPr>
      </w:pPr>
      <w:r>
        <w:rPr>
          <w:rFonts w:hint="eastAsia" w:ascii="宋体" w:hAnsi="宋体" w:cs="宋体"/>
          <w:szCs w:val="21"/>
        </w:rPr>
        <w:t>34.1本项目公开征集过程中若出现投标截止后实际递交投标文件的供应商数量不足、经评审委员会评审对征集文件作实质响应的供应商不足等情况，公开征集有效供应商不足三家的，项目根据以下情况开展：</w:t>
      </w:r>
    </w:p>
    <w:p w14:paraId="6A0818D9">
      <w:pPr>
        <w:spacing w:line="360" w:lineRule="auto"/>
        <w:rPr>
          <w:rFonts w:ascii="宋体" w:hAnsi="宋体" w:cs="宋体"/>
          <w:szCs w:val="21"/>
        </w:rPr>
      </w:pPr>
      <w:r>
        <w:rPr>
          <w:rFonts w:hint="eastAsia" w:ascii="宋体" w:hAnsi="宋体" w:cs="宋体"/>
          <w:szCs w:val="21"/>
        </w:rPr>
        <w:t>34.1.1有效供应商为两家的，项目现场转为邀请竞标，评审委员会根据本项目征集文件规定的评审方法确定中标供应商；</w:t>
      </w:r>
    </w:p>
    <w:p w14:paraId="139CB743">
      <w:pPr>
        <w:spacing w:line="360" w:lineRule="auto"/>
        <w:rPr>
          <w:rFonts w:ascii="宋体" w:hAnsi="宋体" w:cs="宋体"/>
          <w:szCs w:val="21"/>
        </w:rPr>
      </w:pPr>
      <w:r>
        <w:rPr>
          <w:rFonts w:hint="eastAsia" w:ascii="宋体" w:hAnsi="宋体" w:cs="宋体"/>
          <w:szCs w:val="21"/>
        </w:rPr>
        <w:t>34.1.2有效供应商为一家的，项目现场转为直接采购，评审委员会与唯一供应商进行总计不少于三轮谈判、报价（含首轮报价）；</w:t>
      </w:r>
    </w:p>
    <w:p w14:paraId="6D2FCD33">
      <w:pPr>
        <w:spacing w:line="360" w:lineRule="auto"/>
        <w:rPr>
          <w:rFonts w:ascii="宋体" w:hAnsi="宋体" w:cs="宋体"/>
          <w:szCs w:val="21"/>
        </w:rPr>
      </w:pPr>
      <w:r>
        <w:rPr>
          <w:rFonts w:hint="eastAsia" w:ascii="宋体" w:hAnsi="宋体" w:cs="宋体"/>
          <w:szCs w:val="21"/>
        </w:rPr>
        <w:t>34.1.3无有效供应商的，项目公开征集失败，重新组织公开征集。</w:t>
      </w:r>
    </w:p>
    <w:p w14:paraId="7AFD3BBD">
      <w:pPr>
        <w:spacing w:line="360" w:lineRule="auto"/>
        <w:rPr>
          <w:rFonts w:ascii="宋体" w:hAnsi="宋体" w:cs="宋体"/>
          <w:szCs w:val="21"/>
        </w:rPr>
      </w:pPr>
      <w:r>
        <w:rPr>
          <w:rFonts w:hint="eastAsia" w:ascii="宋体" w:hAnsi="宋体" w:cs="宋体"/>
          <w:szCs w:val="21"/>
        </w:rPr>
        <w:t>34.2对公开征集失败的项目，评审委员会在出具该项目征集失败结论的同时，可以提出重新采购组织形式的建议，以及进一步完善征集文件的资格、技术、商务要求的修改建议。</w:t>
      </w:r>
    </w:p>
    <w:p w14:paraId="56CC6EC1">
      <w:pPr>
        <w:spacing w:line="360" w:lineRule="auto"/>
        <w:rPr>
          <w:rFonts w:ascii="宋体" w:hAnsi="宋体" w:cs="宋体"/>
          <w:szCs w:val="21"/>
        </w:rPr>
      </w:pPr>
      <w:r>
        <w:rPr>
          <w:rFonts w:hint="eastAsia" w:ascii="宋体" w:hAnsi="宋体" w:cs="宋体"/>
          <w:szCs w:val="21"/>
        </w:rPr>
        <w:t>34.3公开征集失败的采购项目重新组织公开征集，由采购代理机构重新按公开征集流程组织采购活动。</w:t>
      </w:r>
    </w:p>
    <w:p w14:paraId="24890AF1">
      <w:pPr>
        <w:spacing w:line="360" w:lineRule="auto"/>
        <w:rPr>
          <w:rFonts w:ascii="宋体" w:hAnsi="宋体" w:cs="宋体"/>
          <w:szCs w:val="21"/>
        </w:rPr>
      </w:pPr>
      <w:r>
        <w:rPr>
          <w:rFonts w:hint="eastAsia" w:ascii="宋体" w:hAnsi="宋体" w:cs="宋体"/>
          <w:szCs w:val="21"/>
        </w:rPr>
        <w:t>34.4公开征集失败的采购项目转为邀请竞标或直接采购方式采购的，不另行制作谈判文件，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792EB690">
      <w:pPr>
        <w:spacing w:line="360" w:lineRule="auto"/>
        <w:rPr>
          <w:rFonts w:ascii="宋体" w:hAnsi="宋体" w:cs="宋体"/>
          <w:szCs w:val="21"/>
        </w:rPr>
      </w:pPr>
      <w:r>
        <w:rPr>
          <w:rFonts w:hint="eastAsia" w:ascii="宋体" w:hAnsi="宋体" w:cs="宋体"/>
          <w:b/>
          <w:bCs/>
          <w:szCs w:val="21"/>
        </w:rPr>
        <w:t>35．公开征集失败项目转为直接采购方式</w:t>
      </w:r>
    </w:p>
    <w:p w14:paraId="0DC4DC5A">
      <w:pPr>
        <w:spacing w:line="360" w:lineRule="auto"/>
        <w:rPr>
          <w:rFonts w:ascii="宋体" w:hAnsi="宋体" w:cs="宋体"/>
          <w:szCs w:val="21"/>
        </w:rPr>
      </w:pPr>
      <w:r>
        <w:rPr>
          <w:rFonts w:hint="eastAsia" w:ascii="宋体" w:hAnsi="宋体" w:cs="宋体"/>
          <w:szCs w:val="21"/>
        </w:rPr>
        <w:t>35.1公开征集失败项目转为直接采购方式采购后，评审委员会转为谈判小组，谈判小组成员由采购单位代表和有关专家共3人以上（含3人）的单数组成；专家可重新抽取也可继续采用原评审委员会内专家。</w:t>
      </w:r>
    </w:p>
    <w:p w14:paraId="13A08972">
      <w:pPr>
        <w:spacing w:line="360" w:lineRule="auto"/>
        <w:rPr>
          <w:rFonts w:ascii="宋体" w:hAnsi="宋体" w:cs="宋体"/>
          <w:szCs w:val="21"/>
        </w:rPr>
      </w:pPr>
      <w:r>
        <w:rPr>
          <w:rFonts w:hint="eastAsia" w:ascii="宋体" w:hAnsi="宋体" w:cs="宋体"/>
          <w:szCs w:val="21"/>
        </w:rPr>
        <w:t>35.2谈判程序</w:t>
      </w:r>
    </w:p>
    <w:p w14:paraId="684B31D4">
      <w:pPr>
        <w:spacing w:line="360" w:lineRule="auto"/>
        <w:rPr>
          <w:rFonts w:ascii="宋体" w:hAnsi="宋体" w:cs="宋体"/>
          <w:szCs w:val="21"/>
        </w:rPr>
      </w:pPr>
      <w:r>
        <w:rPr>
          <w:rFonts w:hint="eastAsia" w:ascii="宋体" w:hAnsi="宋体" w:cs="宋体"/>
          <w:szCs w:val="21"/>
        </w:rPr>
        <w:t>35.2.1参加谈判的供应商和谈判小组成员填写谈判登记表，供应商应交验证明文件（法定代表人证明书、法人授权委托书、被授权的谈判代表身份证原件）核实身份。</w:t>
      </w:r>
    </w:p>
    <w:p w14:paraId="6C21FABB">
      <w:pPr>
        <w:spacing w:line="360" w:lineRule="auto"/>
        <w:rPr>
          <w:rFonts w:ascii="宋体" w:hAnsi="宋体" w:cs="宋体"/>
          <w:szCs w:val="21"/>
        </w:rPr>
      </w:pPr>
      <w:r>
        <w:rPr>
          <w:rFonts w:hint="eastAsia" w:ascii="宋体" w:hAnsi="宋体" w:cs="宋体"/>
          <w:szCs w:val="21"/>
        </w:rPr>
        <w:t>35.2.2谈判小组主持人宣布谈判规则和谈判纪律。</w:t>
      </w:r>
    </w:p>
    <w:p w14:paraId="11A60036">
      <w:pPr>
        <w:spacing w:line="360" w:lineRule="auto"/>
        <w:rPr>
          <w:rFonts w:ascii="宋体" w:hAnsi="宋体" w:cs="宋体"/>
          <w:szCs w:val="21"/>
        </w:rPr>
      </w:pPr>
      <w:r>
        <w:rPr>
          <w:rFonts w:hint="eastAsia" w:ascii="宋体" w:hAnsi="宋体" w:cs="宋体"/>
          <w:szCs w:val="21"/>
        </w:rPr>
        <w:t>35.2.3在谈判中，谈判小组将就以下谈判内容跟供应商进行谈判：</w:t>
      </w:r>
    </w:p>
    <w:p w14:paraId="38C48BEE">
      <w:pPr>
        <w:spacing w:line="360" w:lineRule="auto"/>
        <w:rPr>
          <w:rFonts w:ascii="宋体" w:hAnsi="宋体" w:cs="宋体"/>
          <w:szCs w:val="21"/>
        </w:rPr>
      </w:pPr>
      <w:r>
        <w:rPr>
          <w:rFonts w:hint="eastAsia" w:ascii="宋体" w:hAnsi="宋体" w:cs="宋体"/>
          <w:szCs w:val="21"/>
        </w:rPr>
        <w:t>（1）项目方案；</w:t>
      </w:r>
    </w:p>
    <w:p w14:paraId="156F278F">
      <w:pPr>
        <w:spacing w:line="360" w:lineRule="auto"/>
        <w:rPr>
          <w:rFonts w:ascii="宋体" w:hAnsi="宋体" w:cs="宋体"/>
          <w:szCs w:val="21"/>
        </w:rPr>
      </w:pPr>
      <w:r>
        <w:rPr>
          <w:rFonts w:hint="eastAsia" w:ascii="宋体" w:hAnsi="宋体" w:cs="宋体"/>
          <w:szCs w:val="21"/>
        </w:rPr>
        <w:t>（2）报价；</w:t>
      </w:r>
    </w:p>
    <w:p w14:paraId="1FBF12F8">
      <w:pPr>
        <w:spacing w:line="360" w:lineRule="auto"/>
        <w:rPr>
          <w:rFonts w:ascii="宋体" w:hAnsi="宋体" w:cs="宋体"/>
          <w:szCs w:val="21"/>
        </w:rPr>
      </w:pPr>
      <w:r>
        <w:rPr>
          <w:rFonts w:hint="eastAsia" w:ascii="宋体" w:hAnsi="宋体" w:cs="宋体"/>
          <w:szCs w:val="21"/>
        </w:rPr>
        <w:t>（3）其它相关事项。</w:t>
      </w:r>
    </w:p>
    <w:p w14:paraId="433DF290">
      <w:pPr>
        <w:spacing w:line="360" w:lineRule="auto"/>
        <w:rPr>
          <w:rFonts w:ascii="宋体" w:hAnsi="宋体" w:cs="宋体"/>
          <w:szCs w:val="21"/>
        </w:rPr>
      </w:pPr>
      <w:r>
        <w:rPr>
          <w:rFonts w:hint="eastAsia" w:ascii="宋体" w:hAnsi="宋体" w:cs="宋体"/>
          <w:szCs w:val="21"/>
        </w:rPr>
        <w:t>35.2.4原征集文件有实质性变动的，谈判小组应当通过采购代理机构通知参加谈判的供应商。</w:t>
      </w:r>
    </w:p>
    <w:p w14:paraId="3E4033C8">
      <w:pPr>
        <w:spacing w:line="360" w:lineRule="auto"/>
        <w:rPr>
          <w:rFonts w:ascii="宋体" w:hAnsi="宋体" w:cs="宋体"/>
          <w:szCs w:val="21"/>
        </w:rPr>
      </w:pPr>
      <w:r>
        <w:rPr>
          <w:rFonts w:hint="eastAsia" w:ascii="宋体" w:hAnsi="宋体" w:cs="宋体"/>
          <w:szCs w:val="21"/>
        </w:rPr>
        <w:t>35.2.5谈判小组可以用书面形式要求供应商对其谈判应答文件含义不明确的内容作必要的澄清或者说明，重要问题供应商应以书面形式进行澄清、说明。</w:t>
      </w:r>
    </w:p>
    <w:p w14:paraId="3CEC3E88">
      <w:pPr>
        <w:spacing w:line="360" w:lineRule="auto"/>
        <w:rPr>
          <w:rFonts w:ascii="宋体" w:hAnsi="宋体" w:cs="宋体"/>
          <w:szCs w:val="21"/>
        </w:rPr>
      </w:pPr>
      <w:r>
        <w:rPr>
          <w:rFonts w:hint="eastAsia" w:ascii="宋体" w:hAnsi="宋体" w:cs="宋体"/>
          <w:szCs w:val="21"/>
        </w:rPr>
        <w:t>35.2.6 允许供应商在谈判结束之前根据谈判小组提出的内容进行澄清、修改或完善，或对项目方案进行相应的调整。</w:t>
      </w:r>
    </w:p>
    <w:p w14:paraId="7DB51E52">
      <w:pPr>
        <w:spacing w:line="360" w:lineRule="auto"/>
        <w:rPr>
          <w:rFonts w:ascii="宋体" w:hAnsi="宋体" w:cs="宋体"/>
          <w:szCs w:val="21"/>
        </w:rPr>
      </w:pPr>
      <w:r>
        <w:rPr>
          <w:rFonts w:hint="eastAsia" w:ascii="宋体" w:hAnsi="宋体" w:cs="宋体"/>
          <w:szCs w:val="21"/>
        </w:rPr>
        <w:t>35.2.7供应商对谈判应答文件进行修改的，都应形成文字材料，并经供应商谈判授权人签字认可。</w:t>
      </w:r>
    </w:p>
    <w:p w14:paraId="7533DCE3">
      <w:pPr>
        <w:spacing w:line="360" w:lineRule="auto"/>
        <w:rPr>
          <w:rFonts w:ascii="宋体" w:hAnsi="宋体" w:cs="宋体"/>
          <w:szCs w:val="21"/>
        </w:rPr>
      </w:pPr>
      <w:r>
        <w:rPr>
          <w:rFonts w:hint="eastAsia" w:ascii="宋体" w:hAnsi="宋体" w:cs="宋体"/>
          <w:szCs w:val="21"/>
        </w:rPr>
        <w:t>35.2.8</w:t>
      </w:r>
      <w:r>
        <w:rPr>
          <w:rFonts w:hint="eastAsia" w:ascii="宋体" w:hAnsi="宋体"/>
          <w:szCs w:val="21"/>
        </w:rPr>
        <w:t>谈判小组将根据采购需求与供应商进行进行总计不少于三轮谈判、报价(含首轮报价)，</w:t>
      </w:r>
      <w:r>
        <w:rPr>
          <w:rFonts w:hint="eastAsia" w:ascii="宋体" w:hAnsi="宋体" w:cs="宋体"/>
          <w:szCs w:val="21"/>
        </w:rPr>
        <w:t>供应商应在规定的时间内提出最后的报价以及书面承诺。</w:t>
      </w:r>
    </w:p>
    <w:p w14:paraId="2A08E77B">
      <w:pPr>
        <w:rPr>
          <w:rFonts w:cs="仿宋" w:asciiTheme="minorEastAsia" w:hAnsiTheme="minorEastAsia" w:eastAsiaTheme="minorEastAsia"/>
          <w:szCs w:val="21"/>
        </w:rPr>
      </w:pPr>
      <w:r>
        <w:rPr>
          <w:rFonts w:hint="eastAsia" w:ascii="宋体" w:hAnsi="宋体" w:cs="宋体"/>
          <w:szCs w:val="21"/>
        </w:rPr>
        <w:t>35.2.9谈判小组将对谈判过程进行记录，以存档备查。</w:t>
      </w:r>
    </w:p>
    <w:p w14:paraId="6089DB73">
      <w:pPr>
        <w:rPr>
          <w:rFonts w:cs="仿宋" w:asciiTheme="minorEastAsia" w:hAnsiTheme="minorEastAsia" w:eastAsiaTheme="minorEastAsia"/>
        </w:rPr>
      </w:pPr>
    </w:p>
    <w:p w14:paraId="4E6C790B">
      <w:pPr>
        <w:rPr>
          <w:rFonts w:cs="仿宋" w:asciiTheme="minorEastAsia" w:hAnsiTheme="minorEastAsia" w:eastAsiaTheme="minorEastAsia"/>
        </w:rPr>
      </w:pPr>
      <w:r>
        <w:rPr>
          <w:rFonts w:cs="仿宋" w:asciiTheme="minorEastAsia" w:hAnsiTheme="minorEastAsia" w:eastAsiaTheme="minorEastAsia"/>
        </w:rPr>
        <w:br w:type="page"/>
      </w:r>
    </w:p>
    <w:p w14:paraId="068100BC">
      <w:pPr>
        <w:pStyle w:val="2"/>
      </w:pPr>
    </w:p>
    <w:p w14:paraId="5F1C30C0">
      <w:pPr>
        <w:rPr>
          <w:rFonts w:cs="仿宋" w:asciiTheme="minorEastAsia" w:hAnsiTheme="minorEastAsia" w:eastAsiaTheme="minorEastAsia"/>
        </w:rPr>
      </w:pPr>
    </w:p>
    <w:p w14:paraId="56BAE798">
      <w:pPr>
        <w:rPr>
          <w:rFonts w:cs="仿宋" w:asciiTheme="minorEastAsia" w:hAnsiTheme="minorEastAsia" w:eastAsiaTheme="minorEastAsia"/>
        </w:rPr>
      </w:pPr>
    </w:p>
    <w:p w14:paraId="6AE0D77F">
      <w:pPr>
        <w:rPr>
          <w:rFonts w:cs="仿宋" w:asciiTheme="minorEastAsia" w:hAnsiTheme="minorEastAsia" w:eastAsiaTheme="minorEastAsia"/>
        </w:rPr>
      </w:pPr>
    </w:p>
    <w:p w14:paraId="3CDFEAD5">
      <w:pPr>
        <w:rPr>
          <w:rFonts w:cs="仿宋" w:asciiTheme="minorEastAsia" w:hAnsiTheme="minorEastAsia" w:eastAsiaTheme="minorEastAsia"/>
        </w:rPr>
      </w:pPr>
    </w:p>
    <w:p w14:paraId="4C98AC49">
      <w:pPr>
        <w:rPr>
          <w:rFonts w:cs="仿宋" w:asciiTheme="minorEastAsia" w:hAnsiTheme="minorEastAsia" w:eastAsiaTheme="minorEastAsia"/>
        </w:rPr>
      </w:pPr>
    </w:p>
    <w:p w14:paraId="58132CED">
      <w:pPr>
        <w:rPr>
          <w:rFonts w:cs="仿宋" w:asciiTheme="minorEastAsia" w:hAnsiTheme="minorEastAsia" w:eastAsiaTheme="minorEastAsia"/>
        </w:rPr>
      </w:pPr>
    </w:p>
    <w:p w14:paraId="4FAB14DB">
      <w:pPr>
        <w:rPr>
          <w:rFonts w:cs="仿宋" w:asciiTheme="minorEastAsia" w:hAnsiTheme="minorEastAsia" w:eastAsiaTheme="minorEastAsia"/>
        </w:rPr>
      </w:pPr>
    </w:p>
    <w:p w14:paraId="317DFDBF">
      <w:pPr>
        <w:rPr>
          <w:rFonts w:cs="仿宋" w:asciiTheme="minorEastAsia" w:hAnsiTheme="minorEastAsia" w:eastAsiaTheme="minorEastAsia"/>
        </w:rPr>
      </w:pPr>
    </w:p>
    <w:p w14:paraId="3C4CCCA8">
      <w:pPr>
        <w:rPr>
          <w:rFonts w:cs="仿宋" w:asciiTheme="minorEastAsia" w:hAnsiTheme="minorEastAsia" w:eastAsiaTheme="minorEastAsia"/>
        </w:rPr>
      </w:pPr>
    </w:p>
    <w:p w14:paraId="72D2D6ED">
      <w:pPr>
        <w:rPr>
          <w:rFonts w:cs="仿宋" w:asciiTheme="minorEastAsia" w:hAnsiTheme="minorEastAsia" w:eastAsiaTheme="minorEastAsia"/>
        </w:rPr>
      </w:pPr>
    </w:p>
    <w:p w14:paraId="00AC778D">
      <w:pPr>
        <w:rPr>
          <w:rFonts w:cs="仿宋" w:asciiTheme="minorEastAsia" w:hAnsiTheme="minorEastAsia" w:eastAsiaTheme="minorEastAsia"/>
        </w:rPr>
      </w:pPr>
    </w:p>
    <w:p w14:paraId="59A91698">
      <w:pPr>
        <w:rPr>
          <w:rFonts w:cs="仿宋" w:asciiTheme="minorEastAsia" w:hAnsiTheme="minorEastAsia" w:eastAsiaTheme="minorEastAsia"/>
        </w:rPr>
      </w:pPr>
    </w:p>
    <w:p w14:paraId="219732F3">
      <w:pPr>
        <w:rPr>
          <w:rFonts w:cs="仿宋" w:asciiTheme="minorEastAsia" w:hAnsiTheme="minorEastAsia" w:eastAsiaTheme="minorEastAsia"/>
        </w:rPr>
      </w:pPr>
    </w:p>
    <w:p w14:paraId="41BECF68">
      <w:pPr>
        <w:rPr>
          <w:rFonts w:cs="仿宋" w:asciiTheme="minorEastAsia" w:hAnsiTheme="minorEastAsia" w:eastAsiaTheme="minorEastAsia"/>
        </w:rPr>
      </w:pPr>
    </w:p>
    <w:p w14:paraId="03608609">
      <w:pPr>
        <w:adjustRightInd w:val="0"/>
        <w:snapToGrid w:val="0"/>
        <w:spacing w:line="300" w:lineRule="auto"/>
        <w:jc w:val="center"/>
        <w:rPr>
          <w:rFonts w:cs="仿宋" w:asciiTheme="minorEastAsia" w:hAnsiTheme="minorEastAsia" w:eastAsiaTheme="minorEastAsia"/>
          <w:b/>
          <w:snapToGrid w:val="0"/>
          <w:kern w:val="0"/>
          <w:sz w:val="56"/>
          <w:szCs w:val="96"/>
        </w:rPr>
      </w:pPr>
    </w:p>
    <w:p w14:paraId="223C96AF">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14:paraId="2888BA39">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14:paraId="14F743C1">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6F760436">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14:paraId="6948CDBE">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14:paraId="16891877">
      <w:pPr>
        <w:adjustRightInd w:val="0"/>
        <w:snapToGrid w:val="0"/>
        <w:spacing w:line="300" w:lineRule="auto"/>
        <w:rPr>
          <w:rFonts w:cs="仿宋" w:asciiTheme="minorEastAsia" w:hAnsiTheme="minorEastAsia" w:eastAsiaTheme="minorEastAsia"/>
          <w:snapToGrid w:val="0"/>
          <w:kern w:val="0"/>
        </w:rPr>
      </w:pPr>
    </w:p>
    <w:p w14:paraId="2B98375F">
      <w:pPr>
        <w:adjustRightInd w:val="0"/>
        <w:snapToGrid w:val="0"/>
        <w:spacing w:line="300" w:lineRule="auto"/>
        <w:rPr>
          <w:rFonts w:cs="仿宋" w:asciiTheme="minorEastAsia" w:hAnsiTheme="minorEastAsia" w:eastAsiaTheme="minorEastAsia"/>
          <w:snapToGrid w:val="0"/>
          <w:kern w:val="0"/>
        </w:rPr>
      </w:pPr>
    </w:p>
    <w:p w14:paraId="43177E65">
      <w:pPr>
        <w:adjustRightInd w:val="0"/>
        <w:snapToGrid w:val="0"/>
        <w:spacing w:line="30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14:paraId="69199034">
      <w:pPr>
        <w:rPr>
          <w:rFonts w:cs="仿宋" w:asciiTheme="minorEastAsia" w:hAnsiTheme="minorEastAsia" w:eastAsiaTheme="minorEastAsia"/>
        </w:rPr>
      </w:pPr>
    </w:p>
    <w:p w14:paraId="2C8EC23D">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rPr>
        <w:t xml:space="preserve">  </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14:paraId="068489D7">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年</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月</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14:paraId="730C5A7E">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万元人民币的保证金。</w:t>
      </w:r>
    </w:p>
    <w:p w14:paraId="3884DE03">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2C8C21CC">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14:paraId="0DB5ED15">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14:paraId="62BD1731">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14:paraId="4F2AB701">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14:paraId="1C922E95">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14:paraId="36C5DA38">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14:paraId="6B877E59">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3CFC9E07">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(公章)</w:t>
      </w:r>
    </w:p>
    <w:p w14:paraId="2F8D350D">
      <w:pPr>
        <w:pStyle w:val="43"/>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2BB3DDC7">
      <w:pPr>
        <w:pStyle w:val="43"/>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r>
        <w:rPr>
          <w:rFonts w:hint="eastAsia" w:cs="仿宋" w:asciiTheme="minorEastAsia" w:hAnsiTheme="minorEastAsia" w:eastAsiaTheme="minorEastAsia"/>
          <w:sz w:val="22"/>
          <w:u w:val="single"/>
        </w:rPr>
        <w:t xml:space="preserve">            </w:t>
      </w:r>
    </w:p>
    <w:p w14:paraId="6DFDD15E">
      <w:pPr>
        <w:pStyle w:val="44"/>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14:paraId="4B1E0BB4">
      <w:pPr>
        <w:rPr>
          <w:rFonts w:cs="仿宋" w:asciiTheme="minorEastAsia" w:hAnsiTheme="minorEastAsia" w:eastAsiaTheme="minorEastAsia"/>
        </w:rPr>
      </w:pP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roman"/>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MS Mincho">
    <w:altName w:val="Yu Gothic UI"/>
    <w:panose1 w:val="02020609040205080304"/>
    <w:charset w:val="80"/>
    <w:family w:val="decorative"/>
    <w:pitch w:val="default"/>
    <w:sig w:usb0="00000000" w:usb1="00000000" w:usb2="00000012" w:usb3="00000000" w:csb0="4002009F" w:csb1="DFD70000"/>
  </w:font>
  <w:font w:name="Segoe UI Symbol">
    <w:panose1 w:val="020B0502040204020203"/>
    <w:charset w:val="00"/>
    <w:family w:val="roman"/>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14:paraId="000BF2AD">
        <w:pPr>
          <w:pStyle w:val="16"/>
          <w:jc w:val="center"/>
        </w:pPr>
        <w:r>
          <w:fldChar w:fldCharType="begin"/>
        </w:r>
        <w:r>
          <w:instrText xml:space="preserve"> PAGE   \* MERGEFORMAT </w:instrText>
        </w:r>
        <w:r>
          <w:fldChar w:fldCharType="separate"/>
        </w:r>
        <w:r>
          <w:rPr>
            <w:lang w:val="zh-CN"/>
          </w:rPr>
          <w:t>20</w:t>
        </w:r>
        <w:r>
          <w:rPr>
            <w:lang w:val="zh-CN"/>
          </w:rPr>
          <w:fldChar w:fldCharType="end"/>
        </w:r>
      </w:p>
    </w:sdtContent>
  </w:sdt>
  <w:p w14:paraId="2F56E79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14:paraId="34AE6A1B">
        <w:pPr>
          <w:pStyle w:val="16"/>
          <w:jc w:val="center"/>
        </w:pPr>
      </w:p>
    </w:sdtContent>
  </w:sdt>
  <w:p w14:paraId="715218D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C153">
    <w:pPr>
      <w:pStyle w:val="17"/>
      <w:jc w:val="left"/>
      <w:rPr>
        <w:rFonts w:hint="eastAsia" w:eastAsia="宋体"/>
        <w:sz w:val="16"/>
        <w:szCs w:val="16"/>
        <w:lang w:eastAsia="zh-CN"/>
      </w:rPr>
    </w:pPr>
    <w:r>
      <w:rPr>
        <w:rFonts w:hint="eastAsia"/>
        <w:sz w:val="16"/>
        <w:szCs w:val="16"/>
      </w:rPr>
      <w:t>项目名称：</w:t>
    </w:r>
    <w:r>
      <w:rPr>
        <w:rFonts w:hint="eastAsia" w:ascii="宋体" w:hAnsi="宋体"/>
        <w:sz w:val="16"/>
        <w:szCs w:val="16"/>
        <w:lang w:eastAsia="zh-CN"/>
      </w:rPr>
      <w:t>治安支队综合食材配送服务项目（追加）</w:t>
    </w:r>
    <w:r>
      <w:rPr>
        <w:rFonts w:hint="eastAsia" w:ascii="宋体" w:hAnsi="宋体"/>
        <w:sz w:val="16"/>
        <w:szCs w:val="16"/>
      </w:rPr>
      <w:t xml:space="preserve"> </w:t>
    </w:r>
    <w:r>
      <w:rPr>
        <w:rFonts w:hint="eastAsia"/>
        <w:sz w:val="16"/>
        <w:szCs w:val="16"/>
      </w:rPr>
      <w:t xml:space="preserve">                                项目编号：</w:t>
    </w:r>
    <w:r>
      <w:rPr>
        <w:rFonts w:hint="eastAsia" w:asciiTheme="minorEastAsia" w:hAnsiTheme="minorEastAsia" w:eastAsiaTheme="minorEastAsia"/>
        <w:sz w:val="16"/>
        <w:szCs w:val="16"/>
        <w:lang w:eastAsia="zh-CN"/>
      </w:rPr>
      <w:t>FTZXDL-2024-00083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4F52D1"/>
    <w:multiLevelType w:val="multilevel"/>
    <w:tmpl w:val="234F52D1"/>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081812"/>
    <w:rsid w:val="00000DEE"/>
    <w:rsid w:val="00000FB1"/>
    <w:rsid w:val="00001625"/>
    <w:rsid w:val="000027AA"/>
    <w:rsid w:val="000036E1"/>
    <w:rsid w:val="00003A4B"/>
    <w:rsid w:val="000042A9"/>
    <w:rsid w:val="0000490F"/>
    <w:rsid w:val="00007ECB"/>
    <w:rsid w:val="00010908"/>
    <w:rsid w:val="000111D4"/>
    <w:rsid w:val="00012B85"/>
    <w:rsid w:val="00014E98"/>
    <w:rsid w:val="00014F7F"/>
    <w:rsid w:val="000159CF"/>
    <w:rsid w:val="0002500E"/>
    <w:rsid w:val="00027833"/>
    <w:rsid w:val="000309C1"/>
    <w:rsid w:val="00031BF4"/>
    <w:rsid w:val="00031E82"/>
    <w:rsid w:val="00032DB0"/>
    <w:rsid w:val="00036165"/>
    <w:rsid w:val="00037412"/>
    <w:rsid w:val="00037D52"/>
    <w:rsid w:val="0004078C"/>
    <w:rsid w:val="00042A65"/>
    <w:rsid w:val="00044855"/>
    <w:rsid w:val="00046786"/>
    <w:rsid w:val="00050F57"/>
    <w:rsid w:val="0005394E"/>
    <w:rsid w:val="00053B8A"/>
    <w:rsid w:val="000550D9"/>
    <w:rsid w:val="00055193"/>
    <w:rsid w:val="000552FD"/>
    <w:rsid w:val="00056E7C"/>
    <w:rsid w:val="000600D8"/>
    <w:rsid w:val="00060560"/>
    <w:rsid w:val="00060B4F"/>
    <w:rsid w:val="00060C6A"/>
    <w:rsid w:val="0006135A"/>
    <w:rsid w:val="0006220B"/>
    <w:rsid w:val="00063D38"/>
    <w:rsid w:val="00064382"/>
    <w:rsid w:val="000658E0"/>
    <w:rsid w:val="00066E7B"/>
    <w:rsid w:val="000679AB"/>
    <w:rsid w:val="00072AAB"/>
    <w:rsid w:val="00072F2B"/>
    <w:rsid w:val="00075875"/>
    <w:rsid w:val="00076401"/>
    <w:rsid w:val="000771B0"/>
    <w:rsid w:val="00077328"/>
    <w:rsid w:val="00080FB8"/>
    <w:rsid w:val="00081812"/>
    <w:rsid w:val="00081C0F"/>
    <w:rsid w:val="00084B91"/>
    <w:rsid w:val="000851F4"/>
    <w:rsid w:val="00090B60"/>
    <w:rsid w:val="00091819"/>
    <w:rsid w:val="0009267F"/>
    <w:rsid w:val="0009269B"/>
    <w:rsid w:val="00092AEF"/>
    <w:rsid w:val="00094CF9"/>
    <w:rsid w:val="00097F99"/>
    <w:rsid w:val="000A02CF"/>
    <w:rsid w:val="000A1CFD"/>
    <w:rsid w:val="000A3436"/>
    <w:rsid w:val="000B12D8"/>
    <w:rsid w:val="000B3159"/>
    <w:rsid w:val="000B366F"/>
    <w:rsid w:val="000B43BC"/>
    <w:rsid w:val="000B44BC"/>
    <w:rsid w:val="000B61F1"/>
    <w:rsid w:val="000B7A52"/>
    <w:rsid w:val="000C05F3"/>
    <w:rsid w:val="000C1276"/>
    <w:rsid w:val="000C1AEC"/>
    <w:rsid w:val="000C2FC4"/>
    <w:rsid w:val="000C4937"/>
    <w:rsid w:val="000C4E01"/>
    <w:rsid w:val="000C7610"/>
    <w:rsid w:val="000C7E05"/>
    <w:rsid w:val="000D0AE1"/>
    <w:rsid w:val="000D2206"/>
    <w:rsid w:val="000D3053"/>
    <w:rsid w:val="000D4339"/>
    <w:rsid w:val="000D4C91"/>
    <w:rsid w:val="000D74FE"/>
    <w:rsid w:val="000E1731"/>
    <w:rsid w:val="000E1CBF"/>
    <w:rsid w:val="000E29C3"/>
    <w:rsid w:val="000E647C"/>
    <w:rsid w:val="000E6F68"/>
    <w:rsid w:val="000F41DF"/>
    <w:rsid w:val="000F4460"/>
    <w:rsid w:val="000F4536"/>
    <w:rsid w:val="000F47BD"/>
    <w:rsid w:val="000F4EBB"/>
    <w:rsid w:val="000F5214"/>
    <w:rsid w:val="000F5791"/>
    <w:rsid w:val="001024AE"/>
    <w:rsid w:val="0010276A"/>
    <w:rsid w:val="001036FB"/>
    <w:rsid w:val="0010378A"/>
    <w:rsid w:val="00103A07"/>
    <w:rsid w:val="00103BD6"/>
    <w:rsid w:val="00103D0B"/>
    <w:rsid w:val="00103E57"/>
    <w:rsid w:val="00105AE0"/>
    <w:rsid w:val="00106334"/>
    <w:rsid w:val="001071FF"/>
    <w:rsid w:val="001075BE"/>
    <w:rsid w:val="00107C01"/>
    <w:rsid w:val="0011046C"/>
    <w:rsid w:val="0011120F"/>
    <w:rsid w:val="00112047"/>
    <w:rsid w:val="001120AB"/>
    <w:rsid w:val="00113460"/>
    <w:rsid w:val="00113EC5"/>
    <w:rsid w:val="0011733C"/>
    <w:rsid w:val="00117B1C"/>
    <w:rsid w:val="001206C4"/>
    <w:rsid w:val="00120905"/>
    <w:rsid w:val="00120B4D"/>
    <w:rsid w:val="00120DDA"/>
    <w:rsid w:val="001235DF"/>
    <w:rsid w:val="00124947"/>
    <w:rsid w:val="001253C1"/>
    <w:rsid w:val="001300A8"/>
    <w:rsid w:val="001307EF"/>
    <w:rsid w:val="00130FFD"/>
    <w:rsid w:val="00131B9B"/>
    <w:rsid w:val="00131FE1"/>
    <w:rsid w:val="00132477"/>
    <w:rsid w:val="0013247D"/>
    <w:rsid w:val="0013568E"/>
    <w:rsid w:val="0013577A"/>
    <w:rsid w:val="0013596A"/>
    <w:rsid w:val="0014049D"/>
    <w:rsid w:val="00140EDB"/>
    <w:rsid w:val="001426B3"/>
    <w:rsid w:val="0014383F"/>
    <w:rsid w:val="001451A4"/>
    <w:rsid w:val="001453CB"/>
    <w:rsid w:val="001464E7"/>
    <w:rsid w:val="00151DFD"/>
    <w:rsid w:val="0015310D"/>
    <w:rsid w:val="00155BE9"/>
    <w:rsid w:val="0016076C"/>
    <w:rsid w:val="00161DC5"/>
    <w:rsid w:val="00162AE2"/>
    <w:rsid w:val="00165708"/>
    <w:rsid w:val="001657A3"/>
    <w:rsid w:val="001667AC"/>
    <w:rsid w:val="00166E7A"/>
    <w:rsid w:val="001713CD"/>
    <w:rsid w:val="001746A8"/>
    <w:rsid w:val="00174A8D"/>
    <w:rsid w:val="00176B5D"/>
    <w:rsid w:val="00177F3D"/>
    <w:rsid w:val="00180273"/>
    <w:rsid w:val="001807E0"/>
    <w:rsid w:val="00180DC2"/>
    <w:rsid w:val="0018134E"/>
    <w:rsid w:val="00182643"/>
    <w:rsid w:val="001830D7"/>
    <w:rsid w:val="00183156"/>
    <w:rsid w:val="00185010"/>
    <w:rsid w:val="001850C4"/>
    <w:rsid w:val="00185AE8"/>
    <w:rsid w:val="001906D1"/>
    <w:rsid w:val="0019175D"/>
    <w:rsid w:val="00192E27"/>
    <w:rsid w:val="00194764"/>
    <w:rsid w:val="00194B76"/>
    <w:rsid w:val="00197685"/>
    <w:rsid w:val="0019777D"/>
    <w:rsid w:val="001A0D90"/>
    <w:rsid w:val="001A0EB6"/>
    <w:rsid w:val="001A1302"/>
    <w:rsid w:val="001A3FF6"/>
    <w:rsid w:val="001A4995"/>
    <w:rsid w:val="001A529F"/>
    <w:rsid w:val="001A7897"/>
    <w:rsid w:val="001B0736"/>
    <w:rsid w:val="001B14D5"/>
    <w:rsid w:val="001B4B65"/>
    <w:rsid w:val="001B4C23"/>
    <w:rsid w:val="001B7737"/>
    <w:rsid w:val="001C0532"/>
    <w:rsid w:val="001C1A99"/>
    <w:rsid w:val="001C1FFB"/>
    <w:rsid w:val="001C7743"/>
    <w:rsid w:val="001D2455"/>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41CB"/>
    <w:rsid w:val="001F52C4"/>
    <w:rsid w:val="001F5A31"/>
    <w:rsid w:val="00200D8A"/>
    <w:rsid w:val="00201055"/>
    <w:rsid w:val="00204553"/>
    <w:rsid w:val="00205432"/>
    <w:rsid w:val="00210328"/>
    <w:rsid w:val="00211E1C"/>
    <w:rsid w:val="002131F0"/>
    <w:rsid w:val="002134C1"/>
    <w:rsid w:val="00213858"/>
    <w:rsid w:val="002140DF"/>
    <w:rsid w:val="002151EE"/>
    <w:rsid w:val="00215F43"/>
    <w:rsid w:val="00216C79"/>
    <w:rsid w:val="002172FA"/>
    <w:rsid w:val="00220F93"/>
    <w:rsid w:val="00222344"/>
    <w:rsid w:val="00223218"/>
    <w:rsid w:val="0022493F"/>
    <w:rsid w:val="002259B7"/>
    <w:rsid w:val="00226BD7"/>
    <w:rsid w:val="00230218"/>
    <w:rsid w:val="002304B2"/>
    <w:rsid w:val="002329BE"/>
    <w:rsid w:val="00233D9F"/>
    <w:rsid w:val="00235A7C"/>
    <w:rsid w:val="002366EC"/>
    <w:rsid w:val="00240B70"/>
    <w:rsid w:val="00241247"/>
    <w:rsid w:val="00241A35"/>
    <w:rsid w:val="00244EDA"/>
    <w:rsid w:val="002463C2"/>
    <w:rsid w:val="0024707D"/>
    <w:rsid w:val="00250C9F"/>
    <w:rsid w:val="00251EE6"/>
    <w:rsid w:val="00252A0E"/>
    <w:rsid w:val="00255F58"/>
    <w:rsid w:val="00256F3C"/>
    <w:rsid w:val="002606B7"/>
    <w:rsid w:val="0026095A"/>
    <w:rsid w:val="00260974"/>
    <w:rsid w:val="00264F5D"/>
    <w:rsid w:val="00265825"/>
    <w:rsid w:val="002666B6"/>
    <w:rsid w:val="00270AB4"/>
    <w:rsid w:val="0027125F"/>
    <w:rsid w:val="002735DB"/>
    <w:rsid w:val="0027386D"/>
    <w:rsid w:val="00273CE7"/>
    <w:rsid w:val="00274BCF"/>
    <w:rsid w:val="00281900"/>
    <w:rsid w:val="00282D0F"/>
    <w:rsid w:val="00282D7C"/>
    <w:rsid w:val="00284440"/>
    <w:rsid w:val="00285487"/>
    <w:rsid w:val="00290049"/>
    <w:rsid w:val="00290ADE"/>
    <w:rsid w:val="0029352A"/>
    <w:rsid w:val="002938FD"/>
    <w:rsid w:val="00293E95"/>
    <w:rsid w:val="00294665"/>
    <w:rsid w:val="002965F8"/>
    <w:rsid w:val="002A06F5"/>
    <w:rsid w:val="002A179B"/>
    <w:rsid w:val="002A3990"/>
    <w:rsid w:val="002A78DB"/>
    <w:rsid w:val="002B11F2"/>
    <w:rsid w:val="002B162E"/>
    <w:rsid w:val="002B306C"/>
    <w:rsid w:val="002C3E2A"/>
    <w:rsid w:val="002C4DC9"/>
    <w:rsid w:val="002C54D8"/>
    <w:rsid w:val="002C5B23"/>
    <w:rsid w:val="002C5F7F"/>
    <w:rsid w:val="002D285F"/>
    <w:rsid w:val="002D4AE6"/>
    <w:rsid w:val="002D51A5"/>
    <w:rsid w:val="002D6413"/>
    <w:rsid w:val="002D78BD"/>
    <w:rsid w:val="002E071E"/>
    <w:rsid w:val="002E6738"/>
    <w:rsid w:val="002F30E6"/>
    <w:rsid w:val="002F323B"/>
    <w:rsid w:val="002F34AF"/>
    <w:rsid w:val="002F463F"/>
    <w:rsid w:val="002F49D2"/>
    <w:rsid w:val="002F5D8F"/>
    <w:rsid w:val="002F5DF7"/>
    <w:rsid w:val="003007E9"/>
    <w:rsid w:val="00300CC2"/>
    <w:rsid w:val="00300F63"/>
    <w:rsid w:val="00302A03"/>
    <w:rsid w:val="00302EF1"/>
    <w:rsid w:val="00303151"/>
    <w:rsid w:val="0030484B"/>
    <w:rsid w:val="00305AF0"/>
    <w:rsid w:val="00305E56"/>
    <w:rsid w:val="00310D9B"/>
    <w:rsid w:val="00312539"/>
    <w:rsid w:val="0031286A"/>
    <w:rsid w:val="00312A7C"/>
    <w:rsid w:val="0031423A"/>
    <w:rsid w:val="003165DD"/>
    <w:rsid w:val="003206AD"/>
    <w:rsid w:val="003215BB"/>
    <w:rsid w:val="00321AB6"/>
    <w:rsid w:val="00321C69"/>
    <w:rsid w:val="00322482"/>
    <w:rsid w:val="00324BEB"/>
    <w:rsid w:val="00325DC4"/>
    <w:rsid w:val="0032699D"/>
    <w:rsid w:val="0032777C"/>
    <w:rsid w:val="003314AD"/>
    <w:rsid w:val="00331CBE"/>
    <w:rsid w:val="00331CEB"/>
    <w:rsid w:val="00331F0C"/>
    <w:rsid w:val="00335646"/>
    <w:rsid w:val="003366C3"/>
    <w:rsid w:val="00341029"/>
    <w:rsid w:val="00341DF6"/>
    <w:rsid w:val="003467AA"/>
    <w:rsid w:val="00347DED"/>
    <w:rsid w:val="0035266A"/>
    <w:rsid w:val="003533CB"/>
    <w:rsid w:val="003566C5"/>
    <w:rsid w:val="00357198"/>
    <w:rsid w:val="00357BAD"/>
    <w:rsid w:val="00360C53"/>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2A41"/>
    <w:rsid w:val="00373358"/>
    <w:rsid w:val="003734A9"/>
    <w:rsid w:val="003749D0"/>
    <w:rsid w:val="00375FDD"/>
    <w:rsid w:val="00376EFE"/>
    <w:rsid w:val="003817C2"/>
    <w:rsid w:val="003821BD"/>
    <w:rsid w:val="00383404"/>
    <w:rsid w:val="00384A45"/>
    <w:rsid w:val="00385F8F"/>
    <w:rsid w:val="00391DBF"/>
    <w:rsid w:val="003925F7"/>
    <w:rsid w:val="00394101"/>
    <w:rsid w:val="003961A8"/>
    <w:rsid w:val="00397B90"/>
    <w:rsid w:val="003A0AF8"/>
    <w:rsid w:val="003A2361"/>
    <w:rsid w:val="003A2D80"/>
    <w:rsid w:val="003A3825"/>
    <w:rsid w:val="003A45DB"/>
    <w:rsid w:val="003A6687"/>
    <w:rsid w:val="003B05B2"/>
    <w:rsid w:val="003B0701"/>
    <w:rsid w:val="003B09EB"/>
    <w:rsid w:val="003B1F2D"/>
    <w:rsid w:val="003B2517"/>
    <w:rsid w:val="003B3548"/>
    <w:rsid w:val="003B480F"/>
    <w:rsid w:val="003B57E3"/>
    <w:rsid w:val="003B5862"/>
    <w:rsid w:val="003B72A9"/>
    <w:rsid w:val="003B73C7"/>
    <w:rsid w:val="003C007A"/>
    <w:rsid w:val="003C09AC"/>
    <w:rsid w:val="003C5421"/>
    <w:rsid w:val="003C5430"/>
    <w:rsid w:val="003C73B6"/>
    <w:rsid w:val="003D00F6"/>
    <w:rsid w:val="003D060D"/>
    <w:rsid w:val="003D4C25"/>
    <w:rsid w:val="003D5DF4"/>
    <w:rsid w:val="003D6A99"/>
    <w:rsid w:val="003D7227"/>
    <w:rsid w:val="003D76AD"/>
    <w:rsid w:val="003E0109"/>
    <w:rsid w:val="003E0447"/>
    <w:rsid w:val="003E21AD"/>
    <w:rsid w:val="003E2E33"/>
    <w:rsid w:val="003E7DA3"/>
    <w:rsid w:val="003F2113"/>
    <w:rsid w:val="003F35A5"/>
    <w:rsid w:val="003F3788"/>
    <w:rsid w:val="003F5A49"/>
    <w:rsid w:val="00400065"/>
    <w:rsid w:val="00410FE8"/>
    <w:rsid w:val="00411B6E"/>
    <w:rsid w:val="00414963"/>
    <w:rsid w:val="00415251"/>
    <w:rsid w:val="0041630C"/>
    <w:rsid w:val="004164C2"/>
    <w:rsid w:val="004168DC"/>
    <w:rsid w:val="00417144"/>
    <w:rsid w:val="00417BA6"/>
    <w:rsid w:val="00417C44"/>
    <w:rsid w:val="00421132"/>
    <w:rsid w:val="0042116F"/>
    <w:rsid w:val="00421DAD"/>
    <w:rsid w:val="00422693"/>
    <w:rsid w:val="00422C44"/>
    <w:rsid w:val="0042392F"/>
    <w:rsid w:val="0042569B"/>
    <w:rsid w:val="0042757A"/>
    <w:rsid w:val="00427866"/>
    <w:rsid w:val="0043223F"/>
    <w:rsid w:val="004430A5"/>
    <w:rsid w:val="0044367E"/>
    <w:rsid w:val="00444CAF"/>
    <w:rsid w:val="00446C65"/>
    <w:rsid w:val="004501AD"/>
    <w:rsid w:val="0045273A"/>
    <w:rsid w:val="00453647"/>
    <w:rsid w:val="0045369C"/>
    <w:rsid w:val="00453EAF"/>
    <w:rsid w:val="00454F13"/>
    <w:rsid w:val="00454FF9"/>
    <w:rsid w:val="00460AA2"/>
    <w:rsid w:val="00462399"/>
    <w:rsid w:val="004625C3"/>
    <w:rsid w:val="00465005"/>
    <w:rsid w:val="00465593"/>
    <w:rsid w:val="00465C8A"/>
    <w:rsid w:val="00466085"/>
    <w:rsid w:val="0046668A"/>
    <w:rsid w:val="00466DE8"/>
    <w:rsid w:val="00467D37"/>
    <w:rsid w:val="00470471"/>
    <w:rsid w:val="004745CF"/>
    <w:rsid w:val="00475AAD"/>
    <w:rsid w:val="00476772"/>
    <w:rsid w:val="00476854"/>
    <w:rsid w:val="00476A9C"/>
    <w:rsid w:val="004807D8"/>
    <w:rsid w:val="0048492A"/>
    <w:rsid w:val="00485AE7"/>
    <w:rsid w:val="00485BF2"/>
    <w:rsid w:val="00486360"/>
    <w:rsid w:val="004870E5"/>
    <w:rsid w:val="00487AC8"/>
    <w:rsid w:val="00490108"/>
    <w:rsid w:val="00492ED3"/>
    <w:rsid w:val="00492EE9"/>
    <w:rsid w:val="00494A35"/>
    <w:rsid w:val="0049518C"/>
    <w:rsid w:val="004A008B"/>
    <w:rsid w:val="004A17F8"/>
    <w:rsid w:val="004A2A14"/>
    <w:rsid w:val="004A3C65"/>
    <w:rsid w:val="004A3ED8"/>
    <w:rsid w:val="004A44E9"/>
    <w:rsid w:val="004A4D27"/>
    <w:rsid w:val="004B2C1C"/>
    <w:rsid w:val="004B3011"/>
    <w:rsid w:val="004B3E4E"/>
    <w:rsid w:val="004B5B8D"/>
    <w:rsid w:val="004B6C7B"/>
    <w:rsid w:val="004B702D"/>
    <w:rsid w:val="004B7A5D"/>
    <w:rsid w:val="004B7FFC"/>
    <w:rsid w:val="004C01E3"/>
    <w:rsid w:val="004C1824"/>
    <w:rsid w:val="004C1F8C"/>
    <w:rsid w:val="004C267E"/>
    <w:rsid w:val="004C2C97"/>
    <w:rsid w:val="004C3BFC"/>
    <w:rsid w:val="004C4655"/>
    <w:rsid w:val="004C5A96"/>
    <w:rsid w:val="004D198B"/>
    <w:rsid w:val="004D1E7C"/>
    <w:rsid w:val="004D21F9"/>
    <w:rsid w:val="004D3C88"/>
    <w:rsid w:val="004D3EFD"/>
    <w:rsid w:val="004D4540"/>
    <w:rsid w:val="004D6C39"/>
    <w:rsid w:val="004E30ED"/>
    <w:rsid w:val="004E34DF"/>
    <w:rsid w:val="004E6514"/>
    <w:rsid w:val="004F0013"/>
    <w:rsid w:val="004F037B"/>
    <w:rsid w:val="004F1964"/>
    <w:rsid w:val="004F2741"/>
    <w:rsid w:val="004F2776"/>
    <w:rsid w:val="004F4A43"/>
    <w:rsid w:val="004F57EA"/>
    <w:rsid w:val="004F5A1F"/>
    <w:rsid w:val="00500014"/>
    <w:rsid w:val="005049F9"/>
    <w:rsid w:val="0050673A"/>
    <w:rsid w:val="0050685A"/>
    <w:rsid w:val="00507910"/>
    <w:rsid w:val="005101D8"/>
    <w:rsid w:val="005115F1"/>
    <w:rsid w:val="00513405"/>
    <w:rsid w:val="00513D74"/>
    <w:rsid w:val="00515BCF"/>
    <w:rsid w:val="00516927"/>
    <w:rsid w:val="00516A33"/>
    <w:rsid w:val="00517508"/>
    <w:rsid w:val="00517F47"/>
    <w:rsid w:val="00520B5C"/>
    <w:rsid w:val="00523ECF"/>
    <w:rsid w:val="0052440E"/>
    <w:rsid w:val="00524928"/>
    <w:rsid w:val="00524AB5"/>
    <w:rsid w:val="0052553C"/>
    <w:rsid w:val="00530955"/>
    <w:rsid w:val="00530EBB"/>
    <w:rsid w:val="00531594"/>
    <w:rsid w:val="005339CE"/>
    <w:rsid w:val="0053608D"/>
    <w:rsid w:val="00536394"/>
    <w:rsid w:val="00536771"/>
    <w:rsid w:val="0054086A"/>
    <w:rsid w:val="00541820"/>
    <w:rsid w:val="00541912"/>
    <w:rsid w:val="00541962"/>
    <w:rsid w:val="00544A1E"/>
    <w:rsid w:val="005454F7"/>
    <w:rsid w:val="00546FF3"/>
    <w:rsid w:val="00552EA1"/>
    <w:rsid w:val="005535EE"/>
    <w:rsid w:val="0055372B"/>
    <w:rsid w:val="005542BC"/>
    <w:rsid w:val="0055628A"/>
    <w:rsid w:val="00556603"/>
    <w:rsid w:val="00561EBC"/>
    <w:rsid w:val="00562A80"/>
    <w:rsid w:val="005659BA"/>
    <w:rsid w:val="00565F47"/>
    <w:rsid w:val="00566051"/>
    <w:rsid w:val="005671EF"/>
    <w:rsid w:val="00571D74"/>
    <w:rsid w:val="00571DC0"/>
    <w:rsid w:val="00574D07"/>
    <w:rsid w:val="00580DD1"/>
    <w:rsid w:val="00581D61"/>
    <w:rsid w:val="00583885"/>
    <w:rsid w:val="0058457D"/>
    <w:rsid w:val="005849C6"/>
    <w:rsid w:val="00584C51"/>
    <w:rsid w:val="00585272"/>
    <w:rsid w:val="00585768"/>
    <w:rsid w:val="0059135C"/>
    <w:rsid w:val="0059165F"/>
    <w:rsid w:val="005925C4"/>
    <w:rsid w:val="00594812"/>
    <w:rsid w:val="00597492"/>
    <w:rsid w:val="005977CD"/>
    <w:rsid w:val="005A198A"/>
    <w:rsid w:val="005A1BED"/>
    <w:rsid w:val="005A2D99"/>
    <w:rsid w:val="005A556A"/>
    <w:rsid w:val="005A69ED"/>
    <w:rsid w:val="005A6A03"/>
    <w:rsid w:val="005B02B7"/>
    <w:rsid w:val="005B1387"/>
    <w:rsid w:val="005B39F5"/>
    <w:rsid w:val="005B3CF3"/>
    <w:rsid w:val="005B45D9"/>
    <w:rsid w:val="005B4677"/>
    <w:rsid w:val="005B5B05"/>
    <w:rsid w:val="005B6672"/>
    <w:rsid w:val="005C038C"/>
    <w:rsid w:val="005C09C3"/>
    <w:rsid w:val="005C1F40"/>
    <w:rsid w:val="005C26E6"/>
    <w:rsid w:val="005C297C"/>
    <w:rsid w:val="005C50DE"/>
    <w:rsid w:val="005C669E"/>
    <w:rsid w:val="005C6BAF"/>
    <w:rsid w:val="005C6E36"/>
    <w:rsid w:val="005D04B0"/>
    <w:rsid w:val="005D120E"/>
    <w:rsid w:val="005D1F9A"/>
    <w:rsid w:val="005D2420"/>
    <w:rsid w:val="005D4C43"/>
    <w:rsid w:val="005E0B51"/>
    <w:rsid w:val="005E18E3"/>
    <w:rsid w:val="005E3AA1"/>
    <w:rsid w:val="005E3DDF"/>
    <w:rsid w:val="005E4F8C"/>
    <w:rsid w:val="005E5481"/>
    <w:rsid w:val="005E5539"/>
    <w:rsid w:val="005E72A8"/>
    <w:rsid w:val="005F13C2"/>
    <w:rsid w:val="005F2755"/>
    <w:rsid w:val="005F36A1"/>
    <w:rsid w:val="005F37DF"/>
    <w:rsid w:val="005F3B95"/>
    <w:rsid w:val="005F559B"/>
    <w:rsid w:val="005F62F0"/>
    <w:rsid w:val="005F695B"/>
    <w:rsid w:val="005F7D29"/>
    <w:rsid w:val="006013DE"/>
    <w:rsid w:val="00602310"/>
    <w:rsid w:val="00603E1C"/>
    <w:rsid w:val="00604FE7"/>
    <w:rsid w:val="00606E51"/>
    <w:rsid w:val="00606EDF"/>
    <w:rsid w:val="0061010F"/>
    <w:rsid w:val="00613833"/>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1EA7"/>
    <w:rsid w:val="00645DC0"/>
    <w:rsid w:val="00647FF7"/>
    <w:rsid w:val="00660043"/>
    <w:rsid w:val="0066090C"/>
    <w:rsid w:val="00660E6A"/>
    <w:rsid w:val="006611B0"/>
    <w:rsid w:val="006613F9"/>
    <w:rsid w:val="006615AD"/>
    <w:rsid w:val="00662273"/>
    <w:rsid w:val="006658FD"/>
    <w:rsid w:val="00667893"/>
    <w:rsid w:val="0067037C"/>
    <w:rsid w:val="006705E0"/>
    <w:rsid w:val="00670BEC"/>
    <w:rsid w:val="006724DC"/>
    <w:rsid w:val="0067485A"/>
    <w:rsid w:val="006755C2"/>
    <w:rsid w:val="006755CD"/>
    <w:rsid w:val="00680CAD"/>
    <w:rsid w:val="00681F30"/>
    <w:rsid w:val="00682237"/>
    <w:rsid w:val="00682B9C"/>
    <w:rsid w:val="0068357C"/>
    <w:rsid w:val="0068357D"/>
    <w:rsid w:val="00683EB7"/>
    <w:rsid w:val="0068713A"/>
    <w:rsid w:val="0069583C"/>
    <w:rsid w:val="00695BD5"/>
    <w:rsid w:val="006A0A50"/>
    <w:rsid w:val="006A4FB5"/>
    <w:rsid w:val="006A5038"/>
    <w:rsid w:val="006A535A"/>
    <w:rsid w:val="006A7A1E"/>
    <w:rsid w:val="006B36EE"/>
    <w:rsid w:val="006B752A"/>
    <w:rsid w:val="006B7F97"/>
    <w:rsid w:val="006C29E2"/>
    <w:rsid w:val="006C3937"/>
    <w:rsid w:val="006C57C7"/>
    <w:rsid w:val="006C5E75"/>
    <w:rsid w:val="006C6C5C"/>
    <w:rsid w:val="006C6D9E"/>
    <w:rsid w:val="006C7615"/>
    <w:rsid w:val="006D0A65"/>
    <w:rsid w:val="006D0B4B"/>
    <w:rsid w:val="006D0B9C"/>
    <w:rsid w:val="006D0CD7"/>
    <w:rsid w:val="006D125F"/>
    <w:rsid w:val="006D395F"/>
    <w:rsid w:val="006D609F"/>
    <w:rsid w:val="006E0808"/>
    <w:rsid w:val="006E0C83"/>
    <w:rsid w:val="006E0F6E"/>
    <w:rsid w:val="006E26F4"/>
    <w:rsid w:val="006E501D"/>
    <w:rsid w:val="006E561B"/>
    <w:rsid w:val="006E6138"/>
    <w:rsid w:val="006E7A6C"/>
    <w:rsid w:val="006E7E40"/>
    <w:rsid w:val="006F0048"/>
    <w:rsid w:val="006F0C30"/>
    <w:rsid w:val="006F1F29"/>
    <w:rsid w:val="006F6DFA"/>
    <w:rsid w:val="00700159"/>
    <w:rsid w:val="007031AC"/>
    <w:rsid w:val="007045A7"/>
    <w:rsid w:val="0070557E"/>
    <w:rsid w:val="007056CF"/>
    <w:rsid w:val="00707AC6"/>
    <w:rsid w:val="007101BF"/>
    <w:rsid w:val="00710E18"/>
    <w:rsid w:val="00711D73"/>
    <w:rsid w:val="007123D6"/>
    <w:rsid w:val="00712437"/>
    <w:rsid w:val="00712AB9"/>
    <w:rsid w:val="00712FBB"/>
    <w:rsid w:val="00713557"/>
    <w:rsid w:val="007163A3"/>
    <w:rsid w:val="007202B8"/>
    <w:rsid w:val="007204CB"/>
    <w:rsid w:val="00722307"/>
    <w:rsid w:val="007254C3"/>
    <w:rsid w:val="00725DCC"/>
    <w:rsid w:val="007264E7"/>
    <w:rsid w:val="00726549"/>
    <w:rsid w:val="00731470"/>
    <w:rsid w:val="00731E75"/>
    <w:rsid w:val="0073473A"/>
    <w:rsid w:val="00734C96"/>
    <w:rsid w:val="00734FEE"/>
    <w:rsid w:val="00740C34"/>
    <w:rsid w:val="007421A3"/>
    <w:rsid w:val="007458E4"/>
    <w:rsid w:val="00747A74"/>
    <w:rsid w:val="0075020F"/>
    <w:rsid w:val="007516CF"/>
    <w:rsid w:val="00752B5B"/>
    <w:rsid w:val="00753B18"/>
    <w:rsid w:val="00757CEF"/>
    <w:rsid w:val="00761B09"/>
    <w:rsid w:val="00762130"/>
    <w:rsid w:val="0076307E"/>
    <w:rsid w:val="00764B73"/>
    <w:rsid w:val="00772F41"/>
    <w:rsid w:val="0077521B"/>
    <w:rsid w:val="007753DE"/>
    <w:rsid w:val="00776554"/>
    <w:rsid w:val="007811AB"/>
    <w:rsid w:val="00785BC2"/>
    <w:rsid w:val="00785E4F"/>
    <w:rsid w:val="0078680E"/>
    <w:rsid w:val="00787395"/>
    <w:rsid w:val="00791AC6"/>
    <w:rsid w:val="00792109"/>
    <w:rsid w:val="007928C7"/>
    <w:rsid w:val="007928D4"/>
    <w:rsid w:val="00793E36"/>
    <w:rsid w:val="00793EE0"/>
    <w:rsid w:val="007948D9"/>
    <w:rsid w:val="00794D26"/>
    <w:rsid w:val="007953F4"/>
    <w:rsid w:val="0079588C"/>
    <w:rsid w:val="007975CB"/>
    <w:rsid w:val="007A0AF9"/>
    <w:rsid w:val="007A0D03"/>
    <w:rsid w:val="007A1673"/>
    <w:rsid w:val="007A33CF"/>
    <w:rsid w:val="007A458B"/>
    <w:rsid w:val="007A47AB"/>
    <w:rsid w:val="007A47D0"/>
    <w:rsid w:val="007B00AD"/>
    <w:rsid w:val="007B0760"/>
    <w:rsid w:val="007B5656"/>
    <w:rsid w:val="007B58FB"/>
    <w:rsid w:val="007B6A98"/>
    <w:rsid w:val="007B7A06"/>
    <w:rsid w:val="007B7EE3"/>
    <w:rsid w:val="007C035E"/>
    <w:rsid w:val="007C0EC0"/>
    <w:rsid w:val="007C1EB3"/>
    <w:rsid w:val="007C6BBE"/>
    <w:rsid w:val="007C75FA"/>
    <w:rsid w:val="007D0F9A"/>
    <w:rsid w:val="007D4329"/>
    <w:rsid w:val="007D4552"/>
    <w:rsid w:val="007D49B8"/>
    <w:rsid w:val="007D57B6"/>
    <w:rsid w:val="007D6457"/>
    <w:rsid w:val="007D759B"/>
    <w:rsid w:val="007D7DF2"/>
    <w:rsid w:val="007E1CC4"/>
    <w:rsid w:val="007E2D1B"/>
    <w:rsid w:val="007E377A"/>
    <w:rsid w:val="007E422B"/>
    <w:rsid w:val="007E6064"/>
    <w:rsid w:val="007E6F85"/>
    <w:rsid w:val="007F0A36"/>
    <w:rsid w:val="007F5B57"/>
    <w:rsid w:val="007F707C"/>
    <w:rsid w:val="0080097C"/>
    <w:rsid w:val="008026F5"/>
    <w:rsid w:val="008027C3"/>
    <w:rsid w:val="00803317"/>
    <w:rsid w:val="008050C5"/>
    <w:rsid w:val="008134A8"/>
    <w:rsid w:val="00816305"/>
    <w:rsid w:val="0081690D"/>
    <w:rsid w:val="008227C0"/>
    <w:rsid w:val="00822F18"/>
    <w:rsid w:val="008237AE"/>
    <w:rsid w:val="008245C9"/>
    <w:rsid w:val="00830A3D"/>
    <w:rsid w:val="00831D70"/>
    <w:rsid w:val="00831DA8"/>
    <w:rsid w:val="00832AE1"/>
    <w:rsid w:val="008338E9"/>
    <w:rsid w:val="0083456A"/>
    <w:rsid w:val="00836C91"/>
    <w:rsid w:val="00837E5D"/>
    <w:rsid w:val="008400A9"/>
    <w:rsid w:val="0084024D"/>
    <w:rsid w:val="00841378"/>
    <w:rsid w:val="00844881"/>
    <w:rsid w:val="008463B9"/>
    <w:rsid w:val="00851111"/>
    <w:rsid w:val="0085139E"/>
    <w:rsid w:val="00851BAA"/>
    <w:rsid w:val="0085372D"/>
    <w:rsid w:val="00853E73"/>
    <w:rsid w:val="00854839"/>
    <w:rsid w:val="00855CDD"/>
    <w:rsid w:val="00857895"/>
    <w:rsid w:val="00860209"/>
    <w:rsid w:val="00861447"/>
    <w:rsid w:val="00862F1A"/>
    <w:rsid w:val="008661D3"/>
    <w:rsid w:val="00866DC9"/>
    <w:rsid w:val="00867868"/>
    <w:rsid w:val="00867964"/>
    <w:rsid w:val="00867F26"/>
    <w:rsid w:val="00870B1C"/>
    <w:rsid w:val="00871FDA"/>
    <w:rsid w:val="00874867"/>
    <w:rsid w:val="00875E76"/>
    <w:rsid w:val="008760F4"/>
    <w:rsid w:val="0087680F"/>
    <w:rsid w:val="00876C9B"/>
    <w:rsid w:val="00880E46"/>
    <w:rsid w:val="00884EE0"/>
    <w:rsid w:val="00885021"/>
    <w:rsid w:val="008857F3"/>
    <w:rsid w:val="00887104"/>
    <w:rsid w:val="0089097C"/>
    <w:rsid w:val="008913F6"/>
    <w:rsid w:val="00892C3E"/>
    <w:rsid w:val="00893234"/>
    <w:rsid w:val="008978BC"/>
    <w:rsid w:val="00897B8F"/>
    <w:rsid w:val="008A00DE"/>
    <w:rsid w:val="008A1135"/>
    <w:rsid w:val="008A5579"/>
    <w:rsid w:val="008A7105"/>
    <w:rsid w:val="008B23ED"/>
    <w:rsid w:val="008B2687"/>
    <w:rsid w:val="008B3CF6"/>
    <w:rsid w:val="008B4417"/>
    <w:rsid w:val="008B5CC3"/>
    <w:rsid w:val="008B6E3E"/>
    <w:rsid w:val="008C0511"/>
    <w:rsid w:val="008C22C3"/>
    <w:rsid w:val="008C2872"/>
    <w:rsid w:val="008C4E93"/>
    <w:rsid w:val="008C5174"/>
    <w:rsid w:val="008C5236"/>
    <w:rsid w:val="008C5331"/>
    <w:rsid w:val="008C59E6"/>
    <w:rsid w:val="008C7EF1"/>
    <w:rsid w:val="008D1C6E"/>
    <w:rsid w:val="008D39A6"/>
    <w:rsid w:val="008D589B"/>
    <w:rsid w:val="008D5F36"/>
    <w:rsid w:val="008D6F39"/>
    <w:rsid w:val="008D74D8"/>
    <w:rsid w:val="008E0F97"/>
    <w:rsid w:val="008E104A"/>
    <w:rsid w:val="008E45DD"/>
    <w:rsid w:val="008E5BEA"/>
    <w:rsid w:val="008E61CF"/>
    <w:rsid w:val="008E62F3"/>
    <w:rsid w:val="008E66A7"/>
    <w:rsid w:val="008E7E3B"/>
    <w:rsid w:val="008F0027"/>
    <w:rsid w:val="008F13F4"/>
    <w:rsid w:val="008F2248"/>
    <w:rsid w:val="008F429A"/>
    <w:rsid w:val="008F4809"/>
    <w:rsid w:val="008F4885"/>
    <w:rsid w:val="008F60B8"/>
    <w:rsid w:val="008F69B0"/>
    <w:rsid w:val="008F6DFC"/>
    <w:rsid w:val="00900FA9"/>
    <w:rsid w:val="00901B1B"/>
    <w:rsid w:val="00901C9D"/>
    <w:rsid w:val="0090254E"/>
    <w:rsid w:val="0090397D"/>
    <w:rsid w:val="00903B8A"/>
    <w:rsid w:val="0090531F"/>
    <w:rsid w:val="00905EA8"/>
    <w:rsid w:val="00907F35"/>
    <w:rsid w:val="00912939"/>
    <w:rsid w:val="0091449C"/>
    <w:rsid w:val="00915478"/>
    <w:rsid w:val="00915C0A"/>
    <w:rsid w:val="00916394"/>
    <w:rsid w:val="00916C61"/>
    <w:rsid w:val="00920BE6"/>
    <w:rsid w:val="00920D54"/>
    <w:rsid w:val="00922E91"/>
    <w:rsid w:val="009253A2"/>
    <w:rsid w:val="009260F9"/>
    <w:rsid w:val="00926811"/>
    <w:rsid w:val="00927035"/>
    <w:rsid w:val="009328BD"/>
    <w:rsid w:val="0093469C"/>
    <w:rsid w:val="0093555E"/>
    <w:rsid w:val="00940D53"/>
    <w:rsid w:val="00941801"/>
    <w:rsid w:val="00942081"/>
    <w:rsid w:val="0094352B"/>
    <w:rsid w:val="009447BD"/>
    <w:rsid w:val="0095085C"/>
    <w:rsid w:val="00950D6C"/>
    <w:rsid w:val="00951423"/>
    <w:rsid w:val="00952B8F"/>
    <w:rsid w:val="00955935"/>
    <w:rsid w:val="00956877"/>
    <w:rsid w:val="009574EE"/>
    <w:rsid w:val="00964F16"/>
    <w:rsid w:val="0096690F"/>
    <w:rsid w:val="0096729D"/>
    <w:rsid w:val="00967A7A"/>
    <w:rsid w:val="00970692"/>
    <w:rsid w:val="00971686"/>
    <w:rsid w:val="009716C7"/>
    <w:rsid w:val="00973719"/>
    <w:rsid w:val="00973845"/>
    <w:rsid w:val="009743E5"/>
    <w:rsid w:val="0097647D"/>
    <w:rsid w:val="00976C61"/>
    <w:rsid w:val="00983A52"/>
    <w:rsid w:val="00984589"/>
    <w:rsid w:val="00984B13"/>
    <w:rsid w:val="00986AE7"/>
    <w:rsid w:val="00987773"/>
    <w:rsid w:val="00987A32"/>
    <w:rsid w:val="00987DB5"/>
    <w:rsid w:val="0099027C"/>
    <w:rsid w:val="00991EFF"/>
    <w:rsid w:val="00993600"/>
    <w:rsid w:val="0099428B"/>
    <w:rsid w:val="00995DAC"/>
    <w:rsid w:val="00997D11"/>
    <w:rsid w:val="009A029C"/>
    <w:rsid w:val="009A0526"/>
    <w:rsid w:val="009A0A96"/>
    <w:rsid w:val="009A271D"/>
    <w:rsid w:val="009A44F9"/>
    <w:rsid w:val="009A70D5"/>
    <w:rsid w:val="009B2507"/>
    <w:rsid w:val="009B2E8E"/>
    <w:rsid w:val="009B3004"/>
    <w:rsid w:val="009B348C"/>
    <w:rsid w:val="009B482A"/>
    <w:rsid w:val="009B7712"/>
    <w:rsid w:val="009B7B83"/>
    <w:rsid w:val="009C0636"/>
    <w:rsid w:val="009C08BA"/>
    <w:rsid w:val="009C6F0A"/>
    <w:rsid w:val="009C6F32"/>
    <w:rsid w:val="009C797B"/>
    <w:rsid w:val="009D02E8"/>
    <w:rsid w:val="009D0C05"/>
    <w:rsid w:val="009D2B82"/>
    <w:rsid w:val="009D4274"/>
    <w:rsid w:val="009D461F"/>
    <w:rsid w:val="009D51B5"/>
    <w:rsid w:val="009D5C53"/>
    <w:rsid w:val="009D5D74"/>
    <w:rsid w:val="009D622C"/>
    <w:rsid w:val="009D661E"/>
    <w:rsid w:val="009E0A55"/>
    <w:rsid w:val="009E1268"/>
    <w:rsid w:val="009E2B19"/>
    <w:rsid w:val="009E5AB3"/>
    <w:rsid w:val="009E61F7"/>
    <w:rsid w:val="009E7BE7"/>
    <w:rsid w:val="009E7EB2"/>
    <w:rsid w:val="009F145D"/>
    <w:rsid w:val="009F17D1"/>
    <w:rsid w:val="009F7CAB"/>
    <w:rsid w:val="00A011F7"/>
    <w:rsid w:val="00A02048"/>
    <w:rsid w:val="00A02E6E"/>
    <w:rsid w:val="00A03F22"/>
    <w:rsid w:val="00A05B2B"/>
    <w:rsid w:val="00A064C9"/>
    <w:rsid w:val="00A0662C"/>
    <w:rsid w:val="00A12624"/>
    <w:rsid w:val="00A1407B"/>
    <w:rsid w:val="00A14B13"/>
    <w:rsid w:val="00A14B40"/>
    <w:rsid w:val="00A15BF3"/>
    <w:rsid w:val="00A15C5A"/>
    <w:rsid w:val="00A16B62"/>
    <w:rsid w:val="00A17FEB"/>
    <w:rsid w:val="00A20772"/>
    <w:rsid w:val="00A214A8"/>
    <w:rsid w:val="00A214C8"/>
    <w:rsid w:val="00A21567"/>
    <w:rsid w:val="00A215C7"/>
    <w:rsid w:val="00A22C2D"/>
    <w:rsid w:val="00A24B13"/>
    <w:rsid w:val="00A25794"/>
    <w:rsid w:val="00A30451"/>
    <w:rsid w:val="00A3148A"/>
    <w:rsid w:val="00A324AB"/>
    <w:rsid w:val="00A33C11"/>
    <w:rsid w:val="00A34E09"/>
    <w:rsid w:val="00A35B35"/>
    <w:rsid w:val="00A4172A"/>
    <w:rsid w:val="00A41A02"/>
    <w:rsid w:val="00A44A6C"/>
    <w:rsid w:val="00A45819"/>
    <w:rsid w:val="00A4687A"/>
    <w:rsid w:val="00A47350"/>
    <w:rsid w:val="00A47C08"/>
    <w:rsid w:val="00A517BC"/>
    <w:rsid w:val="00A52F47"/>
    <w:rsid w:val="00A54695"/>
    <w:rsid w:val="00A54D83"/>
    <w:rsid w:val="00A57CDF"/>
    <w:rsid w:val="00A61F5C"/>
    <w:rsid w:val="00A63384"/>
    <w:rsid w:val="00A6416E"/>
    <w:rsid w:val="00A71754"/>
    <w:rsid w:val="00A717E7"/>
    <w:rsid w:val="00A71EDB"/>
    <w:rsid w:val="00A73971"/>
    <w:rsid w:val="00A74152"/>
    <w:rsid w:val="00A757D1"/>
    <w:rsid w:val="00A76A28"/>
    <w:rsid w:val="00A8284E"/>
    <w:rsid w:val="00A83243"/>
    <w:rsid w:val="00A8359D"/>
    <w:rsid w:val="00A83CC9"/>
    <w:rsid w:val="00A851C0"/>
    <w:rsid w:val="00A8789C"/>
    <w:rsid w:val="00A90111"/>
    <w:rsid w:val="00A91528"/>
    <w:rsid w:val="00A95196"/>
    <w:rsid w:val="00A9738A"/>
    <w:rsid w:val="00A97785"/>
    <w:rsid w:val="00AA1EFF"/>
    <w:rsid w:val="00AA27DD"/>
    <w:rsid w:val="00AA314D"/>
    <w:rsid w:val="00AA5115"/>
    <w:rsid w:val="00AA575B"/>
    <w:rsid w:val="00AB0815"/>
    <w:rsid w:val="00AB14C7"/>
    <w:rsid w:val="00AB2264"/>
    <w:rsid w:val="00AB2E63"/>
    <w:rsid w:val="00AB4E47"/>
    <w:rsid w:val="00AB67F7"/>
    <w:rsid w:val="00AC054F"/>
    <w:rsid w:val="00AC0715"/>
    <w:rsid w:val="00AC146C"/>
    <w:rsid w:val="00AC1F76"/>
    <w:rsid w:val="00AC2615"/>
    <w:rsid w:val="00AC5AB5"/>
    <w:rsid w:val="00AC64D8"/>
    <w:rsid w:val="00AC6F2F"/>
    <w:rsid w:val="00AD12D2"/>
    <w:rsid w:val="00AD1729"/>
    <w:rsid w:val="00AD2774"/>
    <w:rsid w:val="00AD3941"/>
    <w:rsid w:val="00AD5261"/>
    <w:rsid w:val="00AE0009"/>
    <w:rsid w:val="00AE357A"/>
    <w:rsid w:val="00AE38B2"/>
    <w:rsid w:val="00AE49D2"/>
    <w:rsid w:val="00AE5626"/>
    <w:rsid w:val="00AE5A4E"/>
    <w:rsid w:val="00AE76F9"/>
    <w:rsid w:val="00AF3694"/>
    <w:rsid w:val="00AF4B9E"/>
    <w:rsid w:val="00AF6636"/>
    <w:rsid w:val="00B01459"/>
    <w:rsid w:val="00B03EC0"/>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47C68"/>
    <w:rsid w:val="00B50C5D"/>
    <w:rsid w:val="00B523FB"/>
    <w:rsid w:val="00B52E8F"/>
    <w:rsid w:val="00B5413F"/>
    <w:rsid w:val="00B5525E"/>
    <w:rsid w:val="00B576FF"/>
    <w:rsid w:val="00B57738"/>
    <w:rsid w:val="00B61748"/>
    <w:rsid w:val="00B63137"/>
    <w:rsid w:val="00B63604"/>
    <w:rsid w:val="00B63FA9"/>
    <w:rsid w:val="00B64379"/>
    <w:rsid w:val="00B650CC"/>
    <w:rsid w:val="00B707BD"/>
    <w:rsid w:val="00B710FD"/>
    <w:rsid w:val="00B71457"/>
    <w:rsid w:val="00B72997"/>
    <w:rsid w:val="00B750BF"/>
    <w:rsid w:val="00B75217"/>
    <w:rsid w:val="00B75C0C"/>
    <w:rsid w:val="00B776B5"/>
    <w:rsid w:val="00B81AFD"/>
    <w:rsid w:val="00B85442"/>
    <w:rsid w:val="00B90851"/>
    <w:rsid w:val="00B91090"/>
    <w:rsid w:val="00B92190"/>
    <w:rsid w:val="00B926B7"/>
    <w:rsid w:val="00B94A3A"/>
    <w:rsid w:val="00B95094"/>
    <w:rsid w:val="00BA0EC1"/>
    <w:rsid w:val="00BA5FF1"/>
    <w:rsid w:val="00BA7533"/>
    <w:rsid w:val="00BB281A"/>
    <w:rsid w:val="00BB6CCA"/>
    <w:rsid w:val="00BB6F6E"/>
    <w:rsid w:val="00BC04BD"/>
    <w:rsid w:val="00BC4096"/>
    <w:rsid w:val="00BC65BA"/>
    <w:rsid w:val="00BD4F37"/>
    <w:rsid w:val="00BD55FE"/>
    <w:rsid w:val="00BD75D2"/>
    <w:rsid w:val="00BE0383"/>
    <w:rsid w:val="00BE07A0"/>
    <w:rsid w:val="00BE0A03"/>
    <w:rsid w:val="00BE1C3A"/>
    <w:rsid w:val="00BE611C"/>
    <w:rsid w:val="00BE70FF"/>
    <w:rsid w:val="00BF1079"/>
    <w:rsid w:val="00BF1D2D"/>
    <w:rsid w:val="00BF2768"/>
    <w:rsid w:val="00BF5859"/>
    <w:rsid w:val="00BF6DFF"/>
    <w:rsid w:val="00C00048"/>
    <w:rsid w:val="00C00239"/>
    <w:rsid w:val="00C00828"/>
    <w:rsid w:val="00C03139"/>
    <w:rsid w:val="00C05982"/>
    <w:rsid w:val="00C068F5"/>
    <w:rsid w:val="00C11842"/>
    <w:rsid w:val="00C12994"/>
    <w:rsid w:val="00C1363B"/>
    <w:rsid w:val="00C13EF9"/>
    <w:rsid w:val="00C14AEE"/>
    <w:rsid w:val="00C14D24"/>
    <w:rsid w:val="00C1538F"/>
    <w:rsid w:val="00C15926"/>
    <w:rsid w:val="00C16139"/>
    <w:rsid w:val="00C16B14"/>
    <w:rsid w:val="00C17609"/>
    <w:rsid w:val="00C177ED"/>
    <w:rsid w:val="00C212B6"/>
    <w:rsid w:val="00C2204E"/>
    <w:rsid w:val="00C2265C"/>
    <w:rsid w:val="00C2273F"/>
    <w:rsid w:val="00C23420"/>
    <w:rsid w:val="00C30985"/>
    <w:rsid w:val="00C33BB9"/>
    <w:rsid w:val="00C3464B"/>
    <w:rsid w:val="00C35140"/>
    <w:rsid w:val="00C35A34"/>
    <w:rsid w:val="00C36B0D"/>
    <w:rsid w:val="00C3715A"/>
    <w:rsid w:val="00C421FF"/>
    <w:rsid w:val="00C425BE"/>
    <w:rsid w:val="00C428F9"/>
    <w:rsid w:val="00C44387"/>
    <w:rsid w:val="00C44AD0"/>
    <w:rsid w:val="00C44F2B"/>
    <w:rsid w:val="00C545D3"/>
    <w:rsid w:val="00C54A8C"/>
    <w:rsid w:val="00C56388"/>
    <w:rsid w:val="00C5675C"/>
    <w:rsid w:val="00C571C0"/>
    <w:rsid w:val="00C61233"/>
    <w:rsid w:val="00C61911"/>
    <w:rsid w:val="00C627D8"/>
    <w:rsid w:val="00C62EB5"/>
    <w:rsid w:val="00C65EB9"/>
    <w:rsid w:val="00C718D9"/>
    <w:rsid w:val="00C72726"/>
    <w:rsid w:val="00C72850"/>
    <w:rsid w:val="00C73632"/>
    <w:rsid w:val="00C745AC"/>
    <w:rsid w:val="00C75175"/>
    <w:rsid w:val="00C7543D"/>
    <w:rsid w:val="00C759F9"/>
    <w:rsid w:val="00C75EE7"/>
    <w:rsid w:val="00C762F5"/>
    <w:rsid w:val="00C766E1"/>
    <w:rsid w:val="00C777E7"/>
    <w:rsid w:val="00C81E92"/>
    <w:rsid w:val="00C82FEC"/>
    <w:rsid w:val="00C837C1"/>
    <w:rsid w:val="00C91398"/>
    <w:rsid w:val="00C92269"/>
    <w:rsid w:val="00C92ED2"/>
    <w:rsid w:val="00C93239"/>
    <w:rsid w:val="00C94BF8"/>
    <w:rsid w:val="00C94F86"/>
    <w:rsid w:val="00C95B4D"/>
    <w:rsid w:val="00CA180E"/>
    <w:rsid w:val="00CA23F1"/>
    <w:rsid w:val="00CA3D05"/>
    <w:rsid w:val="00CA4DB3"/>
    <w:rsid w:val="00CA574E"/>
    <w:rsid w:val="00CA69FF"/>
    <w:rsid w:val="00CA780E"/>
    <w:rsid w:val="00CA7FEE"/>
    <w:rsid w:val="00CB0B37"/>
    <w:rsid w:val="00CB0CBA"/>
    <w:rsid w:val="00CB11FA"/>
    <w:rsid w:val="00CB26DC"/>
    <w:rsid w:val="00CC0138"/>
    <w:rsid w:val="00CC1F38"/>
    <w:rsid w:val="00CC4D3B"/>
    <w:rsid w:val="00CC6328"/>
    <w:rsid w:val="00CC69B1"/>
    <w:rsid w:val="00CC722D"/>
    <w:rsid w:val="00CC7D94"/>
    <w:rsid w:val="00CD17D9"/>
    <w:rsid w:val="00CD218F"/>
    <w:rsid w:val="00CD2E16"/>
    <w:rsid w:val="00CD417B"/>
    <w:rsid w:val="00CD4EA9"/>
    <w:rsid w:val="00CD56C4"/>
    <w:rsid w:val="00CD6CA5"/>
    <w:rsid w:val="00CE0A40"/>
    <w:rsid w:val="00CE0C33"/>
    <w:rsid w:val="00CE2480"/>
    <w:rsid w:val="00CE2A58"/>
    <w:rsid w:val="00CE3580"/>
    <w:rsid w:val="00CE3871"/>
    <w:rsid w:val="00CE39D5"/>
    <w:rsid w:val="00CE5C29"/>
    <w:rsid w:val="00CE6313"/>
    <w:rsid w:val="00CE68CC"/>
    <w:rsid w:val="00CE7671"/>
    <w:rsid w:val="00CF1043"/>
    <w:rsid w:val="00CF1336"/>
    <w:rsid w:val="00CF2265"/>
    <w:rsid w:val="00CF32D4"/>
    <w:rsid w:val="00CF38DA"/>
    <w:rsid w:val="00CF68C2"/>
    <w:rsid w:val="00CF6B12"/>
    <w:rsid w:val="00CF6CA8"/>
    <w:rsid w:val="00CF797E"/>
    <w:rsid w:val="00D01079"/>
    <w:rsid w:val="00D018E6"/>
    <w:rsid w:val="00D02059"/>
    <w:rsid w:val="00D02D89"/>
    <w:rsid w:val="00D03B55"/>
    <w:rsid w:val="00D03C07"/>
    <w:rsid w:val="00D04D65"/>
    <w:rsid w:val="00D063F2"/>
    <w:rsid w:val="00D06DB2"/>
    <w:rsid w:val="00D07B3B"/>
    <w:rsid w:val="00D10FDF"/>
    <w:rsid w:val="00D1111C"/>
    <w:rsid w:val="00D15CC8"/>
    <w:rsid w:val="00D2001A"/>
    <w:rsid w:val="00D20615"/>
    <w:rsid w:val="00D20796"/>
    <w:rsid w:val="00D2538D"/>
    <w:rsid w:val="00D268C9"/>
    <w:rsid w:val="00D300A3"/>
    <w:rsid w:val="00D301ED"/>
    <w:rsid w:val="00D313B0"/>
    <w:rsid w:val="00D319D4"/>
    <w:rsid w:val="00D32569"/>
    <w:rsid w:val="00D33B92"/>
    <w:rsid w:val="00D35391"/>
    <w:rsid w:val="00D35679"/>
    <w:rsid w:val="00D36569"/>
    <w:rsid w:val="00D36FBF"/>
    <w:rsid w:val="00D40062"/>
    <w:rsid w:val="00D405E7"/>
    <w:rsid w:val="00D4133A"/>
    <w:rsid w:val="00D436F6"/>
    <w:rsid w:val="00D440FF"/>
    <w:rsid w:val="00D44DD1"/>
    <w:rsid w:val="00D5020B"/>
    <w:rsid w:val="00D50841"/>
    <w:rsid w:val="00D50BC2"/>
    <w:rsid w:val="00D515C2"/>
    <w:rsid w:val="00D53B9C"/>
    <w:rsid w:val="00D5622E"/>
    <w:rsid w:val="00D570CE"/>
    <w:rsid w:val="00D62CC9"/>
    <w:rsid w:val="00D66F14"/>
    <w:rsid w:val="00D679C1"/>
    <w:rsid w:val="00D67A9D"/>
    <w:rsid w:val="00D67C6B"/>
    <w:rsid w:val="00D72E7C"/>
    <w:rsid w:val="00D7638B"/>
    <w:rsid w:val="00D769AD"/>
    <w:rsid w:val="00D76DCC"/>
    <w:rsid w:val="00D77D9E"/>
    <w:rsid w:val="00D81C8D"/>
    <w:rsid w:val="00D81D6D"/>
    <w:rsid w:val="00D8340F"/>
    <w:rsid w:val="00D84638"/>
    <w:rsid w:val="00D85D70"/>
    <w:rsid w:val="00D85F1F"/>
    <w:rsid w:val="00D86400"/>
    <w:rsid w:val="00D867D6"/>
    <w:rsid w:val="00D868DE"/>
    <w:rsid w:val="00D90503"/>
    <w:rsid w:val="00D94A33"/>
    <w:rsid w:val="00D97FE0"/>
    <w:rsid w:val="00DA1C78"/>
    <w:rsid w:val="00DA2F03"/>
    <w:rsid w:val="00DA6875"/>
    <w:rsid w:val="00DB0107"/>
    <w:rsid w:val="00DB0723"/>
    <w:rsid w:val="00DB18E3"/>
    <w:rsid w:val="00DB297D"/>
    <w:rsid w:val="00DB2DC7"/>
    <w:rsid w:val="00DB4314"/>
    <w:rsid w:val="00DB6163"/>
    <w:rsid w:val="00DB66A1"/>
    <w:rsid w:val="00DB75D0"/>
    <w:rsid w:val="00DB7C7C"/>
    <w:rsid w:val="00DB7D3B"/>
    <w:rsid w:val="00DC04D3"/>
    <w:rsid w:val="00DC0A19"/>
    <w:rsid w:val="00DC0C8E"/>
    <w:rsid w:val="00DC1BE6"/>
    <w:rsid w:val="00DC7575"/>
    <w:rsid w:val="00DC758E"/>
    <w:rsid w:val="00DD1317"/>
    <w:rsid w:val="00DD2F1D"/>
    <w:rsid w:val="00DD4D3B"/>
    <w:rsid w:val="00DD60CF"/>
    <w:rsid w:val="00DE02C0"/>
    <w:rsid w:val="00DE0C01"/>
    <w:rsid w:val="00DE10B2"/>
    <w:rsid w:val="00DE223B"/>
    <w:rsid w:val="00DE246F"/>
    <w:rsid w:val="00DE3797"/>
    <w:rsid w:val="00DE5AB2"/>
    <w:rsid w:val="00DE671D"/>
    <w:rsid w:val="00DE6EFC"/>
    <w:rsid w:val="00DF076A"/>
    <w:rsid w:val="00DF4497"/>
    <w:rsid w:val="00DF4D3B"/>
    <w:rsid w:val="00DF4E4D"/>
    <w:rsid w:val="00DF715B"/>
    <w:rsid w:val="00E00C09"/>
    <w:rsid w:val="00E01840"/>
    <w:rsid w:val="00E03760"/>
    <w:rsid w:val="00E03EFD"/>
    <w:rsid w:val="00E0782E"/>
    <w:rsid w:val="00E07EFA"/>
    <w:rsid w:val="00E10000"/>
    <w:rsid w:val="00E10D0C"/>
    <w:rsid w:val="00E10E49"/>
    <w:rsid w:val="00E16966"/>
    <w:rsid w:val="00E16B58"/>
    <w:rsid w:val="00E173A4"/>
    <w:rsid w:val="00E1777D"/>
    <w:rsid w:val="00E20B76"/>
    <w:rsid w:val="00E21B6D"/>
    <w:rsid w:val="00E22996"/>
    <w:rsid w:val="00E3163D"/>
    <w:rsid w:val="00E319E4"/>
    <w:rsid w:val="00E34FE8"/>
    <w:rsid w:val="00E368CB"/>
    <w:rsid w:val="00E377D4"/>
    <w:rsid w:val="00E406E1"/>
    <w:rsid w:val="00E4111A"/>
    <w:rsid w:val="00E41325"/>
    <w:rsid w:val="00E418B7"/>
    <w:rsid w:val="00E419D1"/>
    <w:rsid w:val="00E41A8F"/>
    <w:rsid w:val="00E41A9E"/>
    <w:rsid w:val="00E425CE"/>
    <w:rsid w:val="00E47A9E"/>
    <w:rsid w:val="00E510E0"/>
    <w:rsid w:val="00E52810"/>
    <w:rsid w:val="00E5545B"/>
    <w:rsid w:val="00E56037"/>
    <w:rsid w:val="00E57D01"/>
    <w:rsid w:val="00E6073F"/>
    <w:rsid w:val="00E61882"/>
    <w:rsid w:val="00E61E2A"/>
    <w:rsid w:val="00E62870"/>
    <w:rsid w:val="00E63015"/>
    <w:rsid w:val="00E70E68"/>
    <w:rsid w:val="00E7106D"/>
    <w:rsid w:val="00E718C8"/>
    <w:rsid w:val="00E724EA"/>
    <w:rsid w:val="00E7401E"/>
    <w:rsid w:val="00E762FB"/>
    <w:rsid w:val="00E77C95"/>
    <w:rsid w:val="00E80422"/>
    <w:rsid w:val="00E81DDF"/>
    <w:rsid w:val="00E82791"/>
    <w:rsid w:val="00E8332D"/>
    <w:rsid w:val="00E8521E"/>
    <w:rsid w:val="00E85DFB"/>
    <w:rsid w:val="00E85F74"/>
    <w:rsid w:val="00E865C1"/>
    <w:rsid w:val="00E86B9C"/>
    <w:rsid w:val="00E87CCD"/>
    <w:rsid w:val="00E92BD8"/>
    <w:rsid w:val="00E92C08"/>
    <w:rsid w:val="00E94054"/>
    <w:rsid w:val="00E94B32"/>
    <w:rsid w:val="00E94F48"/>
    <w:rsid w:val="00E95307"/>
    <w:rsid w:val="00E95A5B"/>
    <w:rsid w:val="00EA02B6"/>
    <w:rsid w:val="00EA1009"/>
    <w:rsid w:val="00EA39E3"/>
    <w:rsid w:val="00EA50FC"/>
    <w:rsid w:val="00EA6123"/>
    <w:rsid w:val="00EA7C29"/>
    <w:rsid w:val="00EB170B"/>
    <w:rsid w:val="00EB290D"/>
    <w:rsid w:val="00EB632A"/>
    <w:rsid w:val="00EC1E66"/>
    <w:rsid w:val="00EC3181"/>
    <w:rsid w:val="00EC36BC"/>
    <w:rsid w:val="00ED2203"/>
    <w:rsid w:val="00ED2569"/>
    <w:rsid w:val="00ED25B1"/>
    <w:rsid w:val="00ED7FAF"/>
    <w:rsid w:val="00EE0104"/>
    <w:rsid w:val="00EE07DA"/>
    <w:rsid w:val="00EE2AD2"/>
    <w:rsid w:val="00EE3223"/>
    <w:rsid w:val="00EE324B"/>
    <w:rsid w:val="00EE56CB"/>
    <w:rsid w:val="00EE5711"/>
    <w:rsid w:val="00EE5D35"/>
    <w:rsid w:val="00EE6C48"/>
    <w:rsid w:val="00EE7FDD"/>
    <w:rsid w:val="00EF0079"/>
    <w:rsid w:val="00EF18B7"/>
    <w:rsid w:val="00EF3E79"/>
    <w:rsid w:val="00EF4E25"/>
    <w:rsid w:val="00EF771A"/>
    <w:rsid w:val="00F009EB"/>
    <w:rsid w:val="00F03DD9"/>
    <w:rsid w:val="00F04E9A"/>
    <w:rsid w:val="00F06A8A"/>
    <w:rsid w:val="00F0761C"/>
    <w:rsid w:val="00F1054C"/>
    <w:rsid w:val="00F11975"/>
    <w:rsid w:val="00F11B04"/>
    <w:rsid w:val="00F11C6C"/>
    <w:rsid w:val="00F1246B"/>
    <w:rsid w:val="00F12C01"/>
    <w:rsid w:val="00F243C8"/>
    <w:rsid w:val="00F24E11"/>
    <w:rsid w:val="00F26D6A"/>
    <w:rsid w:val="00F304A9"/>
    <w:rsid w:val="00F30C1A"/>
    <w:rsid w:val="00F3139D"/>
    <w:rsid w:val="00F33377"/>
    <w:rsid w:val="00F33F84"/>
    <w:rsid w:val="00F3568E"/>
    <w:rsid w:val="00F35A11"/>
    <w:rsid w:val="00F400ED"/>
    <w:rsid w:val="00F420CC"/>
    <w:rsid w:val="00F43840"/>
    <w:rsid w:val="00F43BBA"/>
    <w:rsid w:val="00F44E10"/>
    <w:rsid w:val="00F46253"/>
    <w:rsid w:val="00F464A2"/>
    <w:rsid w:val="00F472D8"/>
    <w:rsid w:val="00F50479"/>
    <w:rsid w:val="00F507CD"/>
    <w:rsid w:val="00F52083"/>
    <w:rsid w:val="00F52525"/>
    <w:rsid w:val="00F53C91"/>
    <w:rsid w:val="00F56191"/>
    <w:rsid w:val="00F6000A"/>
    <w:rsid w:val="00F64BB0"/>
    <w:rsid w:val="00F709AA"/>
    <w:rsid w:val="00F72CCB"/>
    <w:rsid w:val="00F73A79"/>
    <w:rsid w:val="00F75244"/>
    <w:rsid w:val="00F801B9"/>
    <w:rsid w:val="00F813F1"/>
    <w:rsid w:val="00F8304C"/>
    <w:rsid w:val="00F85A8C"/>
    <w:rsid w:val="00F903F4"/>
    <w:rsid w:val="00F90FCC"/>
    <w:rsid w:val="00F914E1"/>
    <w:rsid w:val="00F915F1"/>
    <w:rsid w:val="00F91721"/>
    <w:rsid w:val="00F920ED"/>
    <w:rsid w:val="00F95601"/>
    <w:rsid w:val="00FA07E3"/>
    <w:rsid w:val="00FA16CB"/>
    <w:rsid w:val="00FA5879"/>
    <w:rsid w:val="00FA5A0A"/>
    <w:rsid w:val="00FA5CFA"/>
    <w:rsid w:val="00FA78CC"/>
    <w:rsid w:val="00FB04D2"/>
    <w:rsid w:val="00FC56DF"/>
    <w:rsid w:val="00FC5E7E"/>
    <w:rsid w:val="00FC65FB"/>
    <w:rsid w:val="00FD0B60"/>
    <w:rsid w:val="00FD2335"/>
    <w:rsid w:val="00FD29BA"/>
    <w:rsid w:val="00FD2AED"/>
    <w:rsid w:val="00FD2F78"/>
    <w:rsid w:val="00FD739B"/>
    <w:rsid w:val="00FE0E36"/>
    <w:rsid w:val="00FE268E"/>
    <w:rsid w:val="00FE2790"/>
    <w:rsid w:val="00FE30E4"/>
    <w:rsid w:val="00FE4E82"/>
    <w:rsid w:val="00FE639A"/>
    <w:rsid w:val="00FE6EA5"/>
    <w:rsid w:val="00FE76EB"/>
    <w:rsid w:val="00FE7BE9"/>
    <w:rsid w:val="00FF344D"/>
    <w:rsid w:val="00FF39E5"/>
    <w:rsid w:val="00FF3C6E"/>
    <w:rsid w:val="00FF3F8D"/>
    <w:rsid w:val="00FF401B"/>
    <w:rsid w:val="00FF463F"/>
    <w:rsid w:val="00FF54FF"/>
    <w:rsid w:val="00FF7F98"/>
    <w:rsid w:val="01417ED0"/>
    <w:rsid w:val="016531D1"/>
    <w:rsid w:val="01835DA0"/>
    <w:rsid w:val="022B6BCC"/>
    <w:rsid w:val="0279651D"/>
    <w:rsid w:val="03E4477D"/>
    <w:rsid w:val="044955F3"/>
    <w:rsid w:val="048917FD"/>
    <w:rsid w:val="04967ABA"/>
    <w:rsid w:val="05F5764D"/>
    <w:rsid w:val="060F7273"/>
    <w:rsid w:val="06124B79"/>
    <w:rsid w:val="06A9672F"/>
    <w:rsid w:val="074958E1"/>
    <w:rsid w:val="0797489E"/>
    <w:rsid w:val="080B6F23"/>
    <w:rsid w:val="0893364B"/>
    <w:rsid w:val="0A1057D9"/>
    <w:rsid w:val="0B4B5358"/>
    <w:rsid w:val="0BE91440"/>
    <w:rsid w:val="0CF96354"/>
    <w:rsid w:val="0DDB6F15"/>
    <w:rsid w:val="0EFB5D5C"/>
    <w:rsid w:val="0EFB7655"/>
    <w:rsid w:val="100B7158"/>
    <w:rsid w:val="11611C99"/>
    <w:rsid w:val="11813A85"/>
    <w:rsid w:val="123864AA"/>
    <w:rsid w:val="128F1ACE"/>
    <w:rsid w:val="12A56C4A"/>
    <w:rsid w:val="135B70C7"/>
    <w:rsid w:val="13E2392A"/>
    <w:rsid w:val="14160D8F"/>
    <w:rsid w:val="147B275D"/>
    <w:rsid w:val="14B45E29"/>
    <w:rsid w:val="15186782"/>
    <w:rsid w:val="151A70C1"/>
    <w:rsid w:val="15CA4090"/>
    <w:rsid w:val="160356FD"/>
    <w:rsid w:val="16D2413C"/>
    <w:rsid w:val="17464523"/>
    <w:rsid w:val="17C85749"/>
    <w:rsid w:val="185760F5"/>
    <w:rsid w:val="188760D2"/>
    <w:rsid w:val="18C0578D"/>
    <w:rsid w:val="18CE006D"/>
    <w:rsid w:val="18CF051E"/>
    <w:rsid w:val="1B2306C0"/>
    <w:rsid w:val="1B396180"/>
    <w:rsid w:val="1CEB326A"/>
    <w:rsid w:val="1D1C3424"/>
    <w:rsid w:val="1D3F5CF8"/>
    <w:rsid w:val="1D701DC1"/>
    <w:rsid w:val="1DFE0D7B"/>
    <w:rsid w:val="1EC36112"/>
    <w:rsid w:val="1F383EAD"/>
    <w:rsid w:val="1F874D8A"/>
    <w:rsid w:val="202D7B3D"/>
    <w:rsid w:val="20636F5C"/>
    <w:rsid w:val="20A41519"/>
    <w:rsid w:val="20C37B32"/>
    <w:rsid w:val="20E564C6"/>
    <w:rsid w:val="218D1BE0"/>
    <w:rsid w:val="22313EDB"/>
    <w:rsid w:val="22873A35"/>
    <w:rsid w:val="233153F2"/>
    <w:rsid w:val="235C3C2A"/>
    <w:rsid w:val="23AE6D9F"/>
    <w:rsid w:val="23B73EA6"/>
    <w:rsid w:val="24253506"/>
    <w:rsid w:val="249809B4"/>
    <w:rsid w:val="25394B5F"/>
    <w:rsid w:val="25396B3D"/>
    <w:rsid w:val="25CA42BF"/>
    <w:rsid w:val="266E396B"/>
    <w:rsid w:val="26D63657"/>
    <w:rsid w:val="27323D42"/>
    <w:rsid w:val="27553ED9"/>
    <w:rsid w:val="27894AB1"/>
    <w:rsid w:val="283C4823"/>
    <w:rsid w:val="29913F8C"/>
    <w:rsid w:val="299B71A6"/>
    <w:rsid w:val="2A8A43CE"/>
    <w:rsid w:val="2AF578DD"/>
    <w:rsid w:val="2AFB0177"/>
    <w:rsid w:val="2B231494"/>
    <w:rsid w:val="2B3A01E0"/>
    <w:rsid w:val="2B6D6617"/>
    <w:rsid w:val="2B7254AB"/>
    <w:rsid w:val="2B764B71"/>
    <w:rsid w:val="2B774A68"/>
    <w:rsid w:val="2D204713"/>
    <w:rsid w:val="2D88708D"/>
    <w:rsid w:val="2E223301"/>
    <w:rsid w:val="2E76122E"/>
    <w:rsid w:val="2E7F2611"/>
    <w:rsid w:val="2FF35E83"/>
    <w:rsid w:val="300C2401"/>
    <w:rsid w:val="30483A67"/>
    <w:rsid w:val="30FE468C"/>
    <w:rsid w:val="31477033"/>
    <w:rsid w:val="328E14B9"/>
    <w:rsid w:val="32A827E6"/>
    <w:rsid w:val="33590A0D"/>
    <w:rsid w:val="34120C85"/>
    <w:rsid w:val="346662ED"/>
    <w:rsid w:val="351B1A4C"/>
    <w:rsid w:val="353A49DA"/>
    <w:rsid w:val="35CB426E"/>
    <w:rsid w:val="37341FF5"/>
    <w:rsid w:val="374C0D4E"/>
    <w:rsid w:val="380145D2"/>
    <w:rsid w:val="390C4A22"/>
    <w:rsid w:val="39790D27"/>
    <w:rsid w:val="3A9E1150"/>
    <w:rsid w:val="3AB16C65"/>
    <w:rsid w:val="3AD638B2"/>
    <w:rsid w:val="3B1D25F2"/>
    <w:rsid w:val="3B2344B0"/>
    <w:rsid w:val="3B3A65D0"/>
    <w:rsid w:val="3DB55B5C"/>
    <w:rsid w:val="3E661310"/>
    <w:rsid w:val="3F046E72"/>
    <w:rsid w:val="3F173D55"/>
    <w:rsid w:val="3FDD483D"/>
    <w:rsid w:val="40017D8D"/>
    <w:rsid w:val="40245CF7"/>
    <w:rsid w:val="406E135E"/>
    <w:rsid w:val="41063188"/>
    <w:rsid w:val="41172180"/>
    <w:rsid w:val="417B665D"/>
    <w:rsid w:val="41A919C7"/>
    <w:rsid w:val="436B0FC0"/>
    <w:rsid w:val="44187FD3"/>
    <w:rsid w:val="444431A2"/>
    <w:rsid w:val="446E75ED"/>
    <w:rsid w:val="448D5BA7"/>
    <w:rsid w:val="44C91833"/>
    <w:rsid w:val="46AE3793"/>
    <w:rsid w:val="46DE2D44"/>
    <w:rsid w:val="47AF4D11"/>
    <w:rsid w:val="47CF5AB2"/>
    <w:rsid w:val="4812647D"/>
    <w:rsid w:val="484043D7"/>
    <w:rsid w:val="492D2D74"/>
    <w:rsid w:val="499524F4"/>
    <w:rsid w:val="49E54901"/>
    <w:rsid w:val="4A8B485A"/>
    <w:rsid w:val="4A8C1339"/>
    <w:rsid w:val="4B023AE9"/>
    <w:rsid w:val="4B286169"/>
    <w:rsid w:val="4B2A6BA7"/>
    <w:rsid w:val="4B876EDE"/>
    <w:rsid w:val="4B9D527A"/>
    <w:rsid w:val="4D3A1520"/>
    <w:rsid w:val="4D5A5D50"/>
    <w:rsid w:val="4DA23BF2"/>
    <w:rsid w:val="4DB200A1"/>
    <w:rsid w:val="4DF479E3"/>
    <w:rsid w:val="4ECE1A55"/>
    <w:rsid w:val="4F20279B"/>
    <w:rsid w:val="4F6208BA"/>
    <w:rsid w:val="50DB264F"/>
    <w:rsid w:val="53D05DA1"/>
    <w:rsid w:val="54541B79"/>
    <w:rsid w:val="54656664"/>
    <w:rsid w:val="5519408A"/>
    <w:rsid w:val="55BD3B21"/>
    <w:rsid w:val="56A5140B"/>
    <w:rsid w:val="56F71EEF"/>
    <w:rsid w:val="57A215DE"/>
    <w:rsid w:val="584B26F4"/>
    <w:rsid w:val="58523BC2"/>
    <w:rsid w:val="589635DD"/>
    <w:rsid w:val="5B494DFB"/>
    <w:rsid w:val="5B734C0E"/>
    <w:rsid w:val="5C7E4A85"/>
    <w:rsid w:val="5C916F6A"/>
    <w:rsid w:val="5D111766"/>
    <w:rsid w:val="5FCB6071"/>
    <w:rsid w:val="601856F1"/>
    <w:rsid w:val="626E1D1B"/>
    <w:rsid w:val="62AB0018"/>
    <w:rsid w:val="62DB0C58"/>
    <w:rsid w:val="62DE7DE4"/>
    <w:rsid w:val="63770981"/>
    <w:rsid w:val="64084829"/>
    <w:rsid w:val="6433241B"/>
    <w:rsid w:val="646B48B3"/>
    <w:rsid w:val="64763864"/>
    <w:rsid w:val="651641C9"/>
    <w:rsid w:val="654F3237"/>
    <w:rsid w:val="65965302"/>
    <w:rsid w:val="6703250E"/>
    <w:rsid w:val="67565A36"/>
    <w:rsid w:val="675D326B"/>
    <w:rsid w:val="6884575B"/>
    <w:rsid w:val="68B37E59"/>
    <w:rsid w:val="68B96DFC"/>
    <w:rsid w:val="6A236CE5"/>
    <w:rsid w:val="6AAA5691"/>
    <w:rsid w:val="6AEF557A"/>
    <w:rsid w:val="6C39522C"/>
    <w:rsid w:val="6C49742E"/>
    <w:rsid w:val="6D404425"/>
    <w:rsid w:val="6D866257"/>
    <w:rsid w:val="6EE3336E"/>
    <w:rsid w:val="71131642"/>
    <w:rsid w:val="716606CE"/>
    <w:rsid w:val="71E02129"/>
    <w:rsid w:val="72A5645A"/>
    <w:rsid w:val="72B648F6"/>
    <w:rsid w:val="733A4A92"/>
    <w:rsid w:val="73AC0D96"/>
    <w:rsid w:val="740C0E97"/>
    <w:rsid w:val="75EC48B2"/>
    <w:rsid w:val="76504BF6"/>
    <w:rsid w:val="76E51A7C"/>
    <w:rsid w:val="77550B81"/>
    <w:rsid w:val="77812C28"/>
    <w:rsid w:val="79490272"/>
    <w:rsid w:val="7A4A17DE"/>
    <w:rsid w:val="7C257EEA"/>
    <w:rsid w:val="7DC964F0"/>
    <w:rsid w:val="7EB9286C"/>
    <w:rsid w:val="7FE36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2"/>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7"/>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adjustRightInd w:val="0"/>
      <w:spacing w:line="360" w:lineRule="atLeast"/>
      <w:ind w:firstLine="720"/>
      <w:textAlignment w:val="baseline"/>
    </w:pPr>
    <w:rPr>
      <w:kern w:val="0"/>
      <w:sz w:val="24"/>
      <w:szCs w:val="24"/>
    </w:rPr>
  </w:style>
  <w:style w:type="paragraph" w:styleId="8">
    <w:name w:val="Normal Indent"/>
    <w:basedOn w:val="1"/>
    <w:qFormat/>
    <w:uiPriority w:val="0"/>
    <w:pPr>
      <w:ind w:firstLine="420" w:firstLineChars="200"/>
    </w:pPr>
  </w:style>
  <w:style w:type="paragraph" w:styleId="9">
    <w:name w:val="annotation text"/>
    <w:basedOn w:val="1"/>
    <w:link w:val="33"/>
    <w:unhideWhenUsed/>
    <w:qFormat/>
    <w:uiPriority w:val="99"/>
    <w:pPr>
      <w:jc w:val="left"/>
    </w:pPr>
  </w:style>
  <w:style w:type="paragraph" w:styleId="10">
    <w:name w:val="Body Text Indent"/>
    <w:basedOn w:val="1"/>
    <w:unhideWhenUsed/>
    <w:qFormat/>
    <w:uiPriority w:val="99"/>
    <w:pPr>
      <w:spacing w:after="120"/>
      <w:ind w:left="420" w:leftChars="200"/>
    </w:pPr>
  </w:style>
  <w:style w:type="paragraph" w:styleId="11">
    <w:name w:val="Block Text"/>
    <w:basedOn w:val="1"/>
    <w:qFormat/>
    <w:uiPriority w:val="0"/>
    <w:pPr>
      <w:widowControl/>
      <w:ind w:left="480" w:right="-341" w:firstLine="513"/>
    </w:pPr>
    <w:rPr>
      <w:kern w:val="0"/>
      <w:sz w:val="24"/>
      <w:szCs w:val="20"/>
    </w:rPr>
  </w:style>
  <w:style w:type="paragraph" w:styleId="12">
    <w:name w:val="toc 5"/>
    <w:basedOn w:val="1"/>
    <w:next w:val="1"/>
    <w:qFormat/>
    <w:uiPriority w:val="0"/>
    <w:pPr>
      <w:ind w:left="840"/>
      <w:jc w:val="left"/>
    </w:pPr>
    <w:rPr>
      <w:rFonts w:cs="Calibri"/>
      <w:sz w:val="18"/>
      <w:szCs w:val="18"/>
    </w:rPr>
  </w:style>
  <w:style w:type="paragraph" w:styleId="13">
    <w:name w:val="Plain Text"/>
    <w:basedOn w:val="1"/>
    <w:link w:val="36"/>
    <w:qFormat/>
    <w:uiPriority w:val="0"/>
    <w:rPr>
      <w:rFonts w:ascii="宋体" w:hAnsi="Courier New" w:eastAsiaTheme="minorEastAsia" w:cstheme="minorBidi"/>
    </w:rPr>
  </w:style>
  <w:style w:type="paragraph" w:styleId="14">
    <w:name w:val="Date"/>
    <w:basedOn w:val="1"/>
    <w:next w:val="1"/>
    <w:link w:val="28"/>
    <w:qFormat/>
    <w:uiPriority w:val="0"/>
    <w:rPr>
      <w:rFonts w:ascii="宋体" w:hAnsi="Courier New"/>
      <w:kern w:val="0"/>
      <w:sz w:val="32"/>
      <w:szCs w:val="20"/>
    </w:rPr>
  </w:style>
  <w:style w:type="paragraph" w:styleId="15">
    <w:name w:val="Balloon Text"/>
    <w:basedOn w:val="1"/>
    <w:link w:val="29"/>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rPr>
  </w:style>
  <w:style w:type="paragraph" w:styleId="19">
    <w:name w:val="annotation subject"/>
    <w:basedOn w:val="9"/>
    <w:next w:val="9"/>
    <w:link w:val="34"/>
    <w:unhideWhenUsed/>
    <w:qFormat/>
    <w:uiPriority w:val="99"/>
    <w:rPr>
      <w:b/>
      <w:bCs/>
    </w:rPr>
  </w:style>
  <w:style w:type="paragraph" w:styleId="20">
    <w:name w:val="Body Text First Indent"/>
    <w:basedOn w:val="2"/>
    <w:qFormat/>
    <w:uiPriority w:val="0"/>
    <w:pPr>
      <w:ind w:firstLine="420" w:firstLineChars="100"/>
    </w:pPr>
    <w:rPr>
      <w:rFonts w:eastAsia="微软雅黑"/>
    </w:rPr>
  </w:style>
  <w:style w:type="paragraph" w:styleId="21">
    <w:name w:val="Body Text First Indent 2"/>
    <w:basedOn w:val="10"/>
    <w:qFormat/>
    <w:uiPriority w:val="0"/>
    <w:pPr>
      <w:ind w:firstLine="420" w:firstLineChars="200"/>
    </w:pPr>
    <w:rPr>
      <w:szCs w:val="24"/>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Hyperlink"/>
    <w:qFormat/>
    <w:uiPriority w:val="99"/>
    <w:rPr>
      <w:color w:val="0000FF"/>
      <w:u w:val="single"/>
    </w:rPr>
  </w:style>
  <w:style w:type="character" w:styleId="26">
    <w:name w:val="annotation reference"/>
    <w:basedOn w:val="24"/>
    <w:unhideWhenUsed/>
    <w:qFormat/>
    <w:uiPriority w:val="99"/>
    <w:rPr>
      <w:sz w:val="21"/>
      <w:szCs w:val="21"/>
    </w:rPr>
  </w:style>
  <w:style w:type="character" w:customStyle="1" w:styleId="27">
    <w:name w:val="日期 Char"/>
    <w:basedOn w:val="24"/>
    <w:qFormat/>
    <w:uiPriority w:val="0"/>
    <w:rPr>
      <w:rFonts w:ascii="宋体" w:hAnsi="Courier New" w:eastAsia="宋体" w:cs="Times New Roman"/>
      <w:kern w:val="0"/>
      <w:sz w:val="32"/>
      <w:szCs w:val="20"/>
    </w:rPr>
  </w:style>
  <w:style w:type="character" w:customStyle="1" w:styleId="28">
    <w:name w:val="日期 Char1"/>
    <w:basedOn w:val="24"/>
    <w:link w:val="14"/>
    <w:semiHidden/>
    <w:qFormat/>
    <w:uiPriority w:val="99"/>
    <w:rPr>
      <w:rFonts w:ascii="Calibri" w:hAnsi="Calibri" w:eastAsia="宋体" w:cs="Times New Roman"/>
    </w:rPr>
  </w:style>
  <w:style w:type="character" w:customStyle="1" w:styleId="29">
    <w:name w:val="批注框文本 Char"/>
    <w:basedOn w:val="24"/>
    <w:link w:val="15"/>
    <w:semiHidden/>
    <w:qFormat/>
    <w:uiPriority w:val="99"/>
    <w:rPr>
      <w:rFonts w:ascii="Calibri" w:hAnsi="Calibri" w:eastAsia="宋体" w:cs="Times New Roman"/>
      <w:sz w:val="18"/>
      <w:szCs w:val="18"/>
    </w:rPr>
  </w:style>
  <w:style w:type="character" w:customStyle="1" w:styleId="30">
    <w:name w:val="页眉 Char"/>
    <w:basedOn w:val="24"/>
    <w:link w:val="17"/>
    <w:qFormat/>
    <w:uiPriority w:val="99"/>
    <w:rPr>
      <w:rFonts w:ascii="Calibri" w:hAnsi="Calibri" w:eastAsia="宋体" w:cs="Times New Roman"/>
      <w:sz w:val="18"/>
      <w:szCs w:val="18"/>
    </w:rPr>
  </w:style>
  <w:style w:type="character" w:customStyle="1" w:styleId="31">
    <w:name w:val="页脚 Char"/>
    <w:basedOn w:val="24"/>
    <w:link w:val="16"/>
    <w:qFormat/>
    <w:uiPriority w:val="99"/>
    <w:rPr>
      <w:rFonts w:ascii="Calibri" w:hAnsi="Calibri" w:eastAsia="宋体" w:cs="Times New Roman"/>
      <w:sz w:val="18"/>
      <w:szCs w:val="18"/>
    </w:rPr>
  </w:style>
  <w:style w:type="character" w:customStyle="1" w:styleId="32">
    <w:name w:val="标题 1 Char"/>
    <w:basedOn w:val="24"/>
    <w:link w:val="4"/>
    <w:qFormat/>
    <w:uiPriority w:val="0"/>
    <w:rPr>
      <w:rFonts w:ascii="宋体" w:hAnsi="Calibri" w:eastAsia="宋体" w:cs="Times New Roman"/>
      <w:color w:val="000000"/>
      <w:sz w:val="28"/>
      <w:szCs w:val="20"/>
    </w:rPr>
  </w:style>
  <w:style w:type="character" w:customStyle="1" w:styleId="33">
    <w:name w:val="批注文字 Char"/>
    <w:basedOn w:val="24"/>
    <w:link w:val="9"/>
    <w:qFormat/>
    <w:uiPriority w:val="99"/>
    <w:rPr>
      <w:rFonts w:ascii="Calibri" w:hAnsi="Calibri" w:eastAsia="宋体" w:cs="Times New Roman"/>
    </w:rPr>
  </w:style>
  <w:style w:type="character" w:customStyle="1" w:styleId="34">
    <w:name w:val="批注主题 Char"/>
    <w:basedOn w:val="33"/>
    <w:link w:val="19"/>
    <w:semiHidden/>
    <w:qFormat/>
    <w:uiPriority w:val="99"/>
    <w:rPr>
      <w:rFonts w:ascii="Calibri" w:hAnsi="Calibri" w:eastAsia="宋体" w:cs="Times New Roman"/>
      <w:b/>
      <w:bCs/>
    </w:rPr>
  </w:style>
  <w:style w:type="character" w:customStyle="1" w:styleId="35">
    <w:name w:val="纯文本 Char"/>
    <w:qFormat/>
    <w:uiPriority w:val="0"/>
    <w:rPr>
      <w:rFonts w:ascii="宋体" w:hAnsi="Courier New"/>
    </w:rPr>
  </w:style>
  <w:style w:type="character" w:customStyle="1" w:styleId="36">
    <w:name w:val="纯文本 Char1"/>
    <w:basedOn w:val="24"/>
    <w:link w:val="13"/>
    <w:semiHidden/>
    <w:qFormat/>
    <w:uiPriority w:val="99"/>
    <w:rPr>
      <w:rFonts w:ascii="宋体" w:hAnsi="Courier New" w:eastAsia="宋体" w:cs="Courier New"/>
      <w:szCs w:val="21"/>
    </w:rPr>
  </w:style>
  <w:style w:type="character" w:customStyle="1" w:styleId="37">
    <w:name w:val="标题 2 Char"/>
    <w:basedOn w:val="24"/>
    <w:link w:val="5"/>
    <w:qFormat/>
    <w:uiPriority w:val="0"/>
    <w:rPr>
      <w:rFonts w:ascii="Arial" w:hAnsi="Arial" w:eastAsia="宋体" w:cs="Times New Roman"/>
      <w:b/>
      <w:bCs/>
      <w:sz w:val="32"/>
      <w:szCs w:val="32"/>
    </w:rPr>
  </w:style>
  <w:style w:type="paragraph" w:customStyle="1" w:styleId="38">
    <w:name w:val="List Paragraph"/>
    <w:basedOn w:val="1"/>
    <w:qFormat/>
    <w:uiPriority w:val="34"/>
    <w:pPr>
      <w:ind w:firstLine="420" w:firstLineChars="200"/>
    </w:pPr>
  </w:style>
  <w:style w:type="character" w:customStyle="1" w:styleId="39">
    <w:name w:val="标题 3 Char"/>
    <w:basedOn w:val="24"/>
    <w:link w:val="6"/>
    <w:semiHidden/>
    <w:qFormat/>
    <w:uiPriority w:val="9"/>
    <w:rPr>
      <w:rFonts w:ascii="Calibri" w:hAnsi="Calibri" w:eastAsia="宋体" w:cs="Times New Roman"/>
      <w:b/>
      <w:bCs/>
      <w:sz w:val="32"/>
      <w:szCs w:val="32"/>
    </w:rPr>
  </w:style>
  <w:style w:type="character" w:customStyle="1" w:styleId="40">
    <w:name w:val="标题 4 Char"/>
    <w:basedOn w:val="24"/>
    <w:link w:val="7"/>
    <w:qFormat/>
    <w:uiPriority w:val="0"/>
    <w:rPr>
      <w:rFonts w:ascii="Cambria" w:hAnsi="Cambria" w:eastAsia="宋体" w:cs="Times New Roman"/>
      <w:b/>
      <w:bCs/>
      <w:sz w:val="28"/>
      <w:szCs w:val="28"/>
    </w:rPr>
  </w:style>
  <w:style w:type="paragraph" w:customStyle="1" w:styleId="41">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2">
    <w:name w:val="1"/>
    <w:basedOn w:val="1"/>
    <w:next w:val="13"/>
    <w:qFormat/>
    <w:uiPriority w:val="0"/>
    <w:rPr>
      <w:rFonts w:ascii="宋体" w:hAnsi="Courier New"/>
      <w:szCs w:val="20"/>
    </w:rPr>
  </w:style>
  <w:style w:type="paragraph" w:customStyle="1" w:styleId="43">
    <w:name w:val="8"/>
    <w:basedOn w:val="1"/>
    <w:next w:val="13"/>
    <w:qFormat/>
    <w:uiPriority w:val="0"/>
    <w:rPr>
      <w:rFonts w:ascii="宋体" w:hAnsi="Courier New"/>
      <w:szCs w:val="20"/>
    </w:rPr>
  </w:style>
  <w:style w:type="paragraph" w:customStyle="1" w:styleId="44">
    <w:name w:val="_Style 55"/>
    <w:basedOn w:val="1"/>
    <w:next w:val="13"/>
    <w:qFormat/>
    <w:uiPriority w:val="0"/>
    <w:rPr>
      <w:rFonts w:ascii="宋体" w:hAnsi="Courier New"/>
      <w:szCs w:val="20"/>
    </w:rPr>
  </w:style>
  <w:style w:type="paragraph" w:customStyle="1" w:styleId="45">
    <w:name w:val="7"/>
    <w:basedOn w:val="1"/>
    <w:next w:val="13"/>
    <w:link w:val="46"/>
    <w:qFormat/>
    <w:uiPriority w:val="0"/>
    <w:rPr>
      <w:rFonts w:ascii="宋体" w:hAnsi="Courier New"/>
      <w:szCs w:val="20"/>
    </w:rPr>
  </w:style>
  <w:style w:type="character" w:customStyle="1" w:styleId="46">
    <w:name w:val="Char1"/>
    <w:link w:val="45"/>
    <w:qFormat/>
    <w:uiPriority w:val="0"/>
    <w:rPr>
      <w:rFonts w:ascii="宋体" w:hAnsi="Courier New" w:eastAsia="宋体" w:cs="Times New Roman"/>
      <w:szCs w:val="20"/>
    </w:rPr>
  </w:style>
  <w:style w:type="paragraph" w:customStyle="1" w:styleId="47">
    <w:name w:val="列出段落1"/>
    <w:basedOn w:val="1"/>
    <w:qFormat/>
    <w:uiPriority w:val="0"/>
    <w:pPr>
      <w:ind w:firstLine="420" w:firstLineChars="200"/>
    </w:pPr>
    <w:rPr>
      <w:rFonts w:cs="Calibri"/>
      <w:szCs w:val="21"/>
    </w:rPr>
  </w:style>
  <w:style w:type="paragraph" w:customStyle="1" w:styleId="4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49">
    <w:name w:val="修订1"/>
    <w:hidden/>
    <w:unhideWhenUsed/>
    <w:qFormat/>
    <w:uiPriority w:val="99"/>
    <w:rPr>
      <w:rFonts w:ascii="Calibri" w:hAnsi="Calibri" w:eastAsia="宋体" w:cs="Times New Roman"/>
      <w:kern w:val="2"/>
      <w:sz w:val="21"/>
      <w:szCs w:val="22"/>
      <w:lang w:val="en-US" w:eastAsia="zh-CN" w:bidi="ar-SA"/>
    </w:rPr>
  </w:style>
  <w:style w:type="paragraph" w:customStyle="1" w:styleId="50">
    <w:name w:val="样式1"/>
    <w:basedOn w:val="1"/>
    <w:qFormat/>
    <w:uiPriority w:val="0"/>
    <w:pPr>
      <w:spacing w:line="360" w:lineRule="auto"/>
      <w:ind w:firstLine="200" w:firstLineChars="200"/>
    </w:pPr>
    <w:rPr>
      <w:sz w:val="28"/>
    </w:rPr>
  </w:style>
  <w:style w:type="paragraph" w:customStyle="1" w:styleId="51">
    <w:name w:val="修订2"/>
    <w:hidden/>
    <w:unhideWhenUsed/>
    <w:qFormat/>
    <w:uiPriority w:val="99"/>
    <w:rPr>
      <w:rFonts w:ascii="Calibri" w:hAnsi="Calibri" w:eastAsia="宋体" w:cs="Times New Roman"/>
      <w:kern w:val="2"/>
      <w:sz w:val="21"/>
      <w:szCs w:val="22"/>
      <w:lang w:val="en-US" w:eastAsia="zh-CN" w:bidi="ar-SA"/>
    </w:rPr>
  </w:style>
  <w:style w:type="character" w:customStyle="1" w:styleId="52">
    <w:name w:val="font41"/>
    <w:basedOn w:val="24"/>
    <w:qFormat/>
    <w:uiPriority w:val="0"/>
    <w:rPr>
      <w:rFonts w:ascii="微软雅黑" w:hAnsi="微软雅黑" w:eastAsia="微软雅黑" w:cs="微软雅黑"/>
      <w:b/>
      <w:bCs/>
      <w:color w:val="000000"/>
      <w:sz w:val="24"/>
      <w:szCs w:val="24"/>
      <w:u w:val="none"/>
    </w:rPr>
  </w:style>
  <w:style w:type="character" w:customStyle="1" w:styleId="53">
    <w:name w:val="font11"/>
    <w:basedOn w:val="24"/>
    <w:qFormat/>
    <w:uiPriority w:val="0"/>
    <w:rPr>
      <w:rFonts w:hint="eastAsia" w:ascii="宋体" w:hAnsi="宋体" w:eastAsia="宋体" w:cs="宋体"/>
      <w:b/>
      <w:bCs/>
      <w:color w:val="000000"/>
      <w:sz w:val="24"/>
      <w:szCs w:val="24"/>
      <w:u w:val="none"/>
    </w:rPr>
  </w:style>
  <w:style w:type="character" w:customStyle="1" w:styleId="54">
    <w:name w:val="font51"/>
    <w:basedOn w:val="24"/>
    <w:qFormat/>
    <w:uiPriority w:val="0"/>
    <w:rPr>
      <w:rFonts w:ascii="宋体" w:hAnsi="宋体" w:eastAsia="宋体" w:cs="宋体"/>
      <w:b/>
      <w:bCs/>
      <w:color w:val="000000"/>
      <w:sz w:val="24"/>
      <w:szCs w:val="24"/>
      <w:u w:val="none"/>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6">
    <w:name w:val="Other|1"/>
    <w:basedOn w:val="1"/>
    <w:qFormat/>
    <w:uiPriority w:val="0"/>
    <w:pPr>
      <w:spacing w:line="403"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B9817-AC72-4C4C-8787-8D02A4B277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50219</Words>
  <Characters>52631</Characters>
  <Lines>285</Lines>
  <Paragraphs>80</Paragraphs>
  <TotalTime>26</TotalTime>
  <ScaleCrop>false</ScaleCrop>
  <LinksUpToDate>false</LinksUpToDate>
  <CharactersWithSpaces>54521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2024-08-06T09:16:00Z</dcterms:created>
  <dc:creator>User</dc:creator>
  <cp:lastModifiedBy>中正招标-李工</cp:lastModifiedBy>
  <cp:lastPrinted>2024-07-17T06:04:00Z</cp:lastPrinted>
  <dcterms:modified xsi:type="dcterms:W3CDTF">2024-10-22T10:09:06Z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31C70102D37E48C09E74376DB041A783_13</vt:lpwstr>
  </property>
</Properties>
</file>